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8CB5B" w14:textId="77777777" w:rsidR="009002D5" w:rsidRPr="00D94FBB" w:rsidRDefault="0016202C" w:rsidP="009002D5">
      <w:pPr>
        <w:spacing w:after="0" w:line="240" w:lineRule="auto"/>
        <w:ind w:left="-851"/>
      </w:pPr>
      <w:r>
        <w:rPr>
          <w:noProof/>
          <w:lang w:val="en-US"/>
        </w:rPr>
        <w:pict w14:anchorId="477610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Description: Work:Work:MGYOSZ:AGEGAP:Logo:AGEGAP_8_elfogadott_LOGO.pdf" style="width:183.6pt;height:131.4pt;visibility:visible">
            <v:imagedata r:id="rId8" o:title="AGEGAP_8_elfogadott_LOGO" croptop="9410f" cropbottom="9410f"/>
          </v:shape>
        </w:pict>
      </w:r>
    </w:p>
    <w:p w14:paraId="399E3FCB" w14:textId="77777777" w:rsidR="009002D5" w:rsidRPr="007350F1" w:rsidRDefault="009002D5" w:rsidP="009002D5">
      <w:pPr>
        <w:spacing w:after="0" w:line="240" w:lineRule="auto"/>
        <w:jc w:val="center"/>
        <w:rPr>
          <w:rFonts w:ascii="718 Medium" w:hAnsi="718 Medium"/>
        </w:rPr>
      </w:pPr>
    </w:p>
    <w:p w14:paraId="07023181" w14:textId="77777777" w:rsidR="009002D5" w:rsidRDefault="009002D5" w:rsidP="009002D5">
      <w:pPr>
        <w:spacing w:after="0" w:line="240" w:lineRule="auto"/>
        <w:rPr>
          <w:b/>
          <w:sz w:val="36"/>
          <w:szCs w:val="36"/>
        </w:rPr>
      </w:pPr>
    </w:p>
    <w:p w14:paraId="7A31E4C5" w14:textId="77777777" w:rsidR="009002D5" w:rsidRDefault="009002D5" w:rsidP="009002D5">
      <w:pPr>
        <w:spacing w:after="0" w:line="240" w:lineRule="auto"/>
      </w:pPr>
    </w:p>
    <w:p w14:paraId="672261A2" w14:textId="77777777" w:rsidR="009002D5" w:rsidRDefault="009002D5" w:rsidP="009002D5">
      <w:pPr>
        <w:spacing w:after="0" w:line="240" w:lineRule="auto"/>
      </w:pPr>
    </w:p>
    <w:p w14:paraId="2D087EA9" w14:textId="77777777" w:rsidR="009002D5" w:rsidRDefault="009002D5" w:rsidP="009002D5">
      <w:pPr>
        <w:spacing w:after="0" w:line="240" w:lineRule="auto"/>
      </w:pPr>
    </w:p>
    <w:p w14:paraId="39EFE812" w14:textId="77777777" w:rsidR="009002D5" w:rsidRDefault="009002D5" w:rsidP="009002D5">
      <w:pPr>
        <w:spacing w:after="0" w:line="240" w:lineRule="auto"/>
      </w:pPr>
    </w:p>
    <w:p w14:paraId="43A6C9BD" w14:textId="77777777" w:rsidR="009002D5" w:rsidRDefault="009002D5" w:rsidP="009002D5">
      <w:pPr>
        <w:spacing w:after="0" w:line="240" w:lineRule="auto"/>
        <w:jc w:val="center"/>
      </w:pPr>
    </w:p>
    <w:p w14:paraId="70963146" w14:textId="06DC4799" w:rsidR="009002D5" w:rsidRPr="00C550CE" w:rsidRDefault="009002D5" w:rsidP="009002D5">
      <w:pPr>
        <w:spacing w:after="0" w:line="240" w:lineRule="auto"/>
        <w:jc w:val="right"/>
        <w:rPr>
          <w:b/>
          <w:color w:val="FFFFFF"/>
          <w:sz w:val="56"/>
          <w:szCs w:val="60"/>
        </w:rPr>
      </w:pPr>
      <w:r>
        <w:rPr>
          <w:noProof/>
          <w:lang w:val="hu-HU" w:eastAsia="hu-HU"/>
        </w:rPr>
        <w:drawing>
          <wp:anchor distT="0" distB="0" distL="114300" distR="114300" simplePos="0" relativeHeight="251662336" behindDoc="1" locked="1" layoutInCell="1" allowOverlap="1" wp14:anchorId="5565B87B" wp14:editId="77F000A1">
            <wp:simplePos x="0" y="0"/>
            <wp:positionH relativeFrom="column">
              <wp:posOffset>-914400</wp:posOffset>
            </wp:positionH>
            <wp:positionV relativeFrom="paragraph">
              <wp:posOffset>-3811905</wp:posOffset>
            </wp:positionV>
            <wp:extent cx="7560310" cy="9944100"/>
            <wp:effectExtent l="0" t="0" r="8890" b="12700"/>
            <wp:wrapNone/>
            <wp:docPr id="5" name="Picture 5"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ground"/>
                    <pic:cNvPicPr>
                      <a:picLocks noChangeAspect="1" noChangeArrowheads="1"/>
                    </pic:cNvPicPr>
                  </pic:nvPicPr>
                  <pic:blipFill>
                    <a:blip r:embed="rId9">
                      <a:extLst>
                        <a:ext uri="{28A0092B-C50C-407E-A947-70E740481C1C}">
                          <a14:useLocalDpi xmlns:a14="http://schemas.microsoft.com/office/drawing/2010/main" val="0"/>
                        </a:ext>
                      </a:extLst>
                    </a:blip>
                    <a:srcRect b="6891"/>
                    <a:stretch>
                      <a:fillRect/>
                    </a:stretch>
                  </pic:blipFill>
                  <pic:spPr bwMode="auto">
                    <a:xfrm>
                      <a:off x="0" y="0"/>
                      <a:ext cx="7560310" cy="9944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FFFF"/>
          <w:sz w:val="56"/>
          <w:szCs w:val="60"/>
        </w:rPr>
        <w:t>–</w:t>
      </w:r>
    </w:p>
    <w:p w14:paraId="4CED2D8F" w14:textId="77777777" w:rsidR="009002D5" w:rsidRPr="00C550CE" w:rsidRDefault="009002D5" w:rsidP="009002D5">
      <w:pPr>
        <w:spacing w:after="0" w:line="240" w:lineRule="auto"/>
        <w:jc w:val="right"/>
        <w:rPr>
          <w:b/>
          <w:color w:val="FFFFFF"/>
          <w:sz w:val="56"/>
          <w:szCs w:val="60"/>
        </w:rPr>
      </w:pPr>
    </w:p>
    <w:p w14:paraId="41F9ACC7" w14:textId="77777777" w:rsidR="009002D5" w:rsidRPr="00C550CE" w:rsidRDefault="009002D5" w:rsidP="009002D5">
      <w:pPr>
        <w:spacing w:after="0" w:line="240" w:lineRule="auto"/>
        <w:jc w:val="right"/>
        <w:rPr>
          <w:b/>
          <w:color w:val="FFFFFF"/>
          <w:sz w:val="56"/>
          <w:szCs w:val="60"/>
        </w:rPr>
      </w:pPr>
    </w:p>
    <w:p w14:paraId="2266225D" w14:textId="77777777" w:rsidR="009002D5" w:rsidRPr="00542BC5" w:rsidRDefault="009002D5" w:rsidP="009002D5">
      <w:pPr>
        <w:spacing w:after="0" w:line="240" w:lineRule="auto"/>
        <w:rPr>
          <w:sz w:val="32"/>
          <w:szCs w:val="32"/>
        </w:rPr>
      </w:pPr>
    </w:p>
    <w:p w14:paraId="43411BFB" w14:textId="090FA1E5" w:rsidR="009002D5" w:rsidRDefault="0016202C" w:rsidP="009002D5">
      <w:pPr>
        <w:spacing w:after="0" w:line="240" w:lineRule="auto"/>
        <w:jc w:val="center"/>
        <w:rPr>
          <w:b/>
          <w:sz w:val="32"/>
          <w:szCs w:val="32"/>
        </w:rPr>
      </w:pPr>
      <w:r>
        <w:rPr>
          <w:noProof/>
          <w:lang w:val="en-US"/>
        </w:rPr>
        <w:pict w14:anchorId="3A63217F">
          <v:shapetype id="_x0000_t202" coordsize="21600,21600" o:spt="202" path="m,l,21600r21600,l21600,xe">
            <v:stroke joinstyle="miter"/>
            <v:path gradientshapeok="t" o:connecttype="rect"/>
          </v:shapetype>
          <v:shape id="_x0000_s1030" type="#_x0000_t202" style="position:absolute;left:0;text-align:left;margin-left:36pt;margin-top:-190.15pt;width:423pt;height:90pt;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" filled="f" stroked="f">
            <v:textbox style="mso-next-textbox:#_x0000_s1030">
              <w:txbxContent>
                <w:p w14:paraId="468129C0" w14:textId="77777777" w:rsidR="003D06AA" w:rsidRDefault="003D06AA" w:rsidP="007662CA">
                  <w:pPr>
                    <w:spacing w:line="240" w:lineRule="auto"/>
                    <w:jc w:val="right"/>
                    <w:rPr>
                      <w:b/>
                      <w:color w:val="26348C"/>
                      <w:sz w:val="36"/>
                      <w:szCs w:val="36"/>
                    </w:rPr>
                  </w:pPr>
                  <w:bookmarkStart w:id="0" w:name="_Hlk74930561"/>
                  <w:proofErr w:type="spellStart"/>
                  <w:r>
                    <w:rPr>
                      <w:b/>
                      <w:color w:val="26348C"/>
                      <w:sz w:val="36"/>
                      <w:szCs w:val="36"/>
                    </w:rPr>
                    <w:t>Prevladavanje</w:t>
                  </w:r>
                  <w:proofErr w:type="spellEnd"/>
                  <w:r>
                    <w:rPr>
                      <w:b/>
                      <w:color w:val="26348C"/>
                      <w:sz w:val="36"/>
                      <w:szCs w:val="36"/>
                    </w:rPr>
                    <w:t xml:space="preserve"> </w:t>
                  </w:r>
                  <w:proofErr w:type="spellStart"/>
                  <w:r>
                    <w:rPr>
                      <w:b/>
                      <w:color w:val="26348C"/>
                      <w:sz w:val="36"/>
                      <w:szCs w:val="36"/>
                    </w:rPr>
                    <w:t>generacijskog</w:t>
                  </w:r>
                  <w:proofErr w:type="spellEnd"/>
                  <w:r>
                    <w:rPr>
                      <w:b/>
                      <w:color w:val="26348C"/>
                      <w:sz w:val="36"/>
                      <w:szCs w:val="36"/>
                    </w:rPr>
                    <w:t xml:space="preserve"> </w:t>
                  </w:r>
                  <w:proofErr w:type="spellStart"/>
                  <w:proofErr w:type="gramStart"/>
                  <w:r>
                    <w:rPr>
                      <w:b/>
                      <w:color w:val="26348C"/>
                      <w:sz w:val="36"/>
                      <w:szCs w:val="36"/>
                    </w:rPr>
                    <w:t>jaza</w:t>
                  </w:r>
                  <w:proofErr w:type="spellEnd"/>
                  <w:r>
                    <w:rPr>
                      <w:b/>
                      <w:color w:val="26348C"/>
                      <w:sz w:val="36"/>
                      <w:szCs w:val="36"/>
                    </w:rPr>
                    <w:t xml:space="preserve"> :</w:t>
                  </w:r>
                  <w:proofErr w:type="gramEnd"/>
                  <w:r>
                    <w:rPr>
                      <w:b/>
                      <w:color w:val="26348C"/>
                      <w:sz w:val="36"/>
                      <w:szCs w:val="36"/>
                    </w:rPr>
                    <w:t xml:space="preserve"> </w:t>
                  </w:r>
                </w:p>
                <w:p w14:paraId="4FD893EB" w14:textId="511C51F6" w:rsidR="007662CA" w:rsidRDefault="003D06AA" w:rsidP="007662CA">
                  <w:pPr>
                    <w:spacing w:line="240" w:lineRule="auto"/>
                    <w:jc w:val="right"/>
                  </w:pPr>
                  <w:r>
                    <w:rPr>
                      <w:b/>
                      <w:color w:val="26348C"/>
                      <w:sz w:val="36"/>
                      <w:szCs w:val="36"/>
                    </w:rPr>
                    <w:t xml:space="preserve">u </w:t>
                  </w:r>
                  <w:proofErr w:type="spellStart"/>
                  <w:r>
                    <w:rPr>
                      <w:b/>
                      <w:color w:val="26348C"/>
                      <w:sz w:val="36"/>
                      <w:szCs w:val="36"/>
                    </w:rPr>
                    <w:t>svjetlu</w:t>
                  </w:r>
                  <w:proofErr w:type="spellEnd"/>
                  <w:r>
                    <w:rPr>
                      <w:b/>
                      <w:color w:val="26348C"/>
                      <w:sz w:val="36"/>
                      <w:szCs w:val="36"/>
                    </w:rPr>
                    <w:t xml:space="preserve"> </w:t>
                  </w:r>
                  <w:proofErr w:type="spellStart"/>
                  <w:r>
                    <w:rPr>
                      <w:b/>
                      <w:color w:val="26348C"/>
                      <w:sz w:val="36"/>
                      <w:szCs w:val="36"/>
                    </w:rPr>
                    <w:t>principa</w:t>
                  </w:r>
                  <w:proofErr w:type="spellEnd"/>
                  <w:r>
                    <w:rPr>
                      <w:b/>
                      <w:color w:val="26348C"/>
                      <w:sz w:val="36"/>
                      <w:szCs w:val="36"/>
                    </w:rPr>
                    <w:t xml:space="preserve"> </w:t>
                  </w:r>
                  <w:proofErr w:type="spellStart"/>
                  <w:r>
                    <w:rPr>
                      <w:b/>
                      <w:color w:val="26348C"/>
                      <w:sz w:val="36"/>
                      <w:szCs w:val="36"/>
                    </w:rPr>
                    <w:t>jednakosti</w:t>
                  </w:r>
                  <w:proofErr w:type="spellEnd"/>
                  <w:r>
                    <w:rPr>
                      <w:b/>
                      <w:color w:val="26348C"/>
                      <w:sz w:val="36"/>
                      <w:szCs w:val="36"/>
                    </w:rPr>
                    <w:t xml:space="preserve"> EU -a </w:t>
                  </w:r>
                </w:p>
                <w:bookmarkEnd w:id="0"/>
                <w:p w14:paraId="7F53D016" w14:textId="77777777" w:rsidR="007662CA" w:rsidRDefault="007662CA" w:rsidP="007662CA">
                  <w:pPr>
                    <w:jc w:val="right"/>
                  </w:pPr>
                </w:p>
              </w:txbxContent>
            </v:textbox>
            <w10:wrap type="square"/>
            <w10:anchorlock/>
          </v:shape>
        </w:pict>
      </w:r>
      <w:r>
        <w:rPr>
          <w:noProof/>
          <w:lang w:val="en-US"/>
        </w:rPr>
        <w:pict w14:anchorId="3A63217F">
          <v:shape id="Text Box 2" o:spid="_x0000_s1027" type="#_x0000_t202" style="position:absolute;left:0;text-align:left;margin-left:126pt;margin-top:-325.15pt;width:351pt;height:104.4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" filled="f" stroked="f">
            <v:textbox style="mso-next-textbox:#Text Box 2">
              <w:txbxContent>
                <w:p w14:paraId="0548DED9" w14:textId="6921AEC0" w:rsidR="007662CA" w:rsidRPr="007662CA" w:rsidRDefault="003D06AA" w:rsidP="007662CA">
                  <w:pPr>
                    <w:spacing w:line="240" w:lineRule="auto"/>
                    <w:jc w:val="left"/>
                    <w:rPr>
                      <w:rFonts w:cs="Times New Roman"/>
                      <w:sz w:val="34"/>
                      <w:szCs w:val="34"/>
                    </w:rPr>
                  </w:pPr>
                  <w:r>
                    <w:rPr>
                      <w:rFonts w:cs="Times New Roman"/>
                      <w:b/>
                      <w:color w:val="26348C"/>
                      <w:sz w:val="34"/>
                      <w:szCs w:val="34"/>
                    </w:rPr>
                    <w:t>PREVLADAVANJE GENERACIJSKOG JAZA</w:t>
                  </w:r>
                  <w:r w:rsidR="007662CA" w:rsidRPr="007662CA">
                    <w:rPr>
                      <w:rFonts w:cs="Times New Roman"/>
                      <w:b/>
                      <w:color w:val="26348C"/>
                      <w:sz w:val="34"/>
                      <w:szCs w:val="34"/>
                    </w:rPr>
                    <w:t xml:space="preserve"> </w:t>
                  </w:r>
                  <w:r w:rsidR="007662CA" w:rsidRPr="007662CA">
                    <w:rPr>
                      <w:rFonts w:cs="Times New Roman"/>
                      <w:b/>
                      <w:color w:val="26348C"/>
                      <w:sz w:val="34"/>
                      <w:szCs w:val="34"/>
                    </w:rPr>
                    <w:softHyphen/>
                    <w:t xml:space="preserve">– </w:t>
                  </w:r>
                  <w:r>
                    <w:rPr>
                      <w:rFonts w:cs="Times New Roman"/>
                      <w:b/>
                      <w:color w:val="26348C"/>
                      <w:sz w:val="34"/>
                      <w:szCs w:val="34"/>
                    </w:rPr>
                    <w:t xml:space="preserve">RAZVOJ INICIJATIVA SOCIJALNIH PARTNERA ZA UPRAVLJANJE GENERACIJSKIM IZAZOVIMA </w:t>
                  </w:r>
                </w:p>
              </w:txbxContent>
            </v:textbox>
            <w10:wrap type="square"/>
            <w10:anchorlock/>
          </v:shape>
        </w:pict>
      </w:r>
    </w:p>
    <w:p w14:paraId="33DB4FFD" w14:textId="77777777" w:rsidR="009002D5" w:rsidRDefault="009002D5" w:rsidP="009002D5">
      <w:pPr>
        <w:spacing w:after="0" w:line="240" w:lineRule="auto"/>
        <w:jc w:val="center"/>
        <w:rPr>
          <w:b/>
          <w:sz w:val="32"/>
          <w:szCs w:val="32"/>
        </w:rPr>
      </w:pPr>
    </w:p>
    <w:p w14:paraId="7F9874A6" w14:textId="77777777" w:rsidR="009002D5" w:rsidRDefault="009002D5" w:rsidP="009002D5">
      <w:pPr>
        <w:spacing w:after="0" w:line="240" w:lineRule="auto"/>
        <w:rPr>
          <w:b/>
          <w:sz w:val="32"/>
          <w:szCs w:val="32"/>
        </w:rPr>
      </w:pPr>
    </w:p>
    <w:p w14:paraId="16BFF90C" w14:textId="77777777" w:rsidR="009002D5" w:rsidRDefault="009002D5" w:rsidP="009002D5">
      <w:pPr>
        <w:spacing w:after="0" w:line="240" w:lineRule="auto"/>
        <w:rPr>
          <w:b/>
        </w:rPr>
      </w:pPr>
    </w:p>
    <w:p w14:paraId="5DC1F4D5" w14:textId="77777777" w:rsidR="009002D5" w:rsidRDefault="009002D5" w:rsidP="009002D5">
      <w:pPr>
        <w:spacing w:after="0" w:line="240" w:lineRule="auto"/>
        <w:rPr>
          <w:b/>
        </w:rPr>
      </w:pPr>
    </w:p>
    <w:p w14:paraId="74DA8769" w14:textId="77777777" w:rsidR="009002D5" w:rsidRDefault="009002D5" w:rsidP="009002D5">
      <w:pPr>
        <w:spacing w:after="0" w:line="240" w:lineRule="auto"/>
        <w:rPr>
          <w:b/>
        </w:rPr>
      </w:pPr>
    </w:p>
    <w:p w14:paraId="7E89C6E5" w14:textId="77777777" w:rsidR="009002D5" w:rsidRDefault="009002D5" w:rsidP="009002D5">
      <w:pPr>
        <w:spacing w:after="0" w:line="240" w:lineRule="auto"/>
        <w:rPr>
          <w:b/>
        </w:rPr>
      </w:pPr>
    </w:p>
    <w:p w14:paraId="06A033DC" w14:textId="77777777" w:rsidR="009002D5" w:rsidRDefault="009002D5" w:rsidP="009002D5">
      <w:pPr>
        <w:spacing w:after="0" w:line="240" w:lineRule="auto"/>
        <w:rPr>
          <w:b/>
        </w:rPr>
      </w:pPr>
    </w:p>
    <w:p w14:paraId="4AF22B5B" w14:textId="77777777" w:rsidR="009002D5" w:rsidRPr="00C6074B" w:rsidRDefault="009002D5" w:rsidP="00900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p>
    <w:p w14:paraId="29E6054A" w14:textId="77777777" w:rsidR="009002D5" w:rsidRDefault="009002D5" w:rsidP="00FA7362">
      <w:pPr>
        <w:pStyle w:val="Title"/>
        <w:rPr>
          <w:rFonts w:ascii="Times New Roman" w:hAnsi="Times New Roman" w:cs="Times New Roman"/>
        </w:rPr>
        <w:sectPr w:rsidR="009002D5" w:rsidSect="009002D5">
          <w:headerReference w:type="even" r:id="rId10"/>
          <w:headerReference w:type="default" r:id="rId11"/>
          <w:footerReference w:type="even" r:id="rId12"/>
          <w:footerReference w:type="default" r:id="rId13"/>
          <w:pgSz w:w="11906" w:h="16838"/>
          <w:pgMar w:top="1417" w:right="1417" w:bottom="1417" w:left="1417" w:header="708" w:footer="0" w:gutter="0"/>
          <w:cols w:space="708"/>
          <w:docGrid w:linePitch="360"/>
        </w:sectPr>
      </w:pPr>
    </w:p>
    <w:p w14:paraId="186DC327" w14:textId="20A75B18" w:rsidR="003D06AA" w:rsidRPr="00B43165" w:rsidRDefault="003D06AA" w:rsidP="00B43165">
      <w:pPr>
        <w:jc w:val="center"/>
        <w:rPr>
          <w:rFonts w:cs="Times New Roman"/>
          <w:b/>
          <w:sz w:val="28"/>
          <w:szCs w:val="28"/>
        </w:rPr>
      </w:pPr>
      <w:proofErr w:type="spellStart"/>
      <w:r w:rsidRPr="00B43165">
        <w:rPr>
          <w:rFonts w:cs="Times New Roman"/>
          <w:b/>
          <w:sz w:val="28"/>
          <w:szCs w:val="28"/>
        </w:rPr>
        <w:lastRenderedPageBreak/>
        <w:t>Prevladavanje</w:t>
      </w:r>
      <w:proofErr w:type="spellEnd"/>
      <w:r w:rsidRPr="00B43165">
        <w:rPr>
          <w:rFonts w:cs="Times New Roman"/>
          <w:b/>
          <w:sz w:val="28"/>
          <w:szCs w:val="28"/>
        </w:rPr>
        <w:t xml:space="preserve"> </w:t>
      </w:r>
      <w:proofErr w:type="spellStart"/>
      <w:r w:rsidRPr="00B43165">
        <w:rPr>
          <w:rFonts w:cs="Times New Roman"/>
          <w:b/>
          <w:sz w:val="28"/>
          <w:szCs w:val="28"/>
        </w:rPr>
        <w:t>generacijskog</w:t>
      </w:r>
      <w:proofErr w:type="spellEnd"/>
      <w:r w:rsidRPr="00B43165">
        <w:rPr>
          <w:rFonts w:cs="Times New Roman"/>
          <w:b/>
          <w:sz w:val="28"/>
          <w:szCs w:val="28"/>
        </w:rPr>
        <w:t xml:space="preserve"> </w:t>
      </w:r>
      <w:proofErr w:type="spellStart"/>
      <w:r w:rsidRPr="00B43165">
        <w:rPr>
          <w:rFonts w:cs="Times New Roman"/>
          <w:b/>
          <w:sz w:val="28"/>
          <w:szCs w:val="28"/>
        </w:rPr>
        <w:t>jaza</w:t>
      </w:r>
      <w:proofErr w:type="spellEnd"/>
      <w:r w:rsidRPr="00B43165">
        <w:rPr>
          <w:rFonts w:cs="Times New Roman"/>
          <w:b/>
          <w:sz w:val="28"/>
          <w:szCs w:val="28"/>
        </w:rPr>
        <w:t xml:space="preserve">: u </w:t>
      </w:r>
      <w:proofErr w:type="spellStart"/>
      <w:r w:rsidRPr="00B43165">
        <w:rPr>
          <w:rFonts w:cs="Times New Roman"/>
          <w:b/>
          <w:sz w:val="28"/>
          <w:szCs w:val="28"/>
        </w:rPr>
        <w:t>svjetlu</w:t>
      </w:r>
      <w:proofErr w:type="spellEnd"/>
      <w:r w:rsidRPr="00B43165">
        <w:rPr>
          <w:rFonts w:cs="Times New Roman"/>
          <w:b/>
          <w:sz w:val="28"/>
          <w:szCs w:val="28"/>
        </w:rPr>
        <w:t xml:space="preserve"> </w:t>
      </w:r>
      <w:proofErr w:type="spellStart"/>
      <w:r w:rsidRPr="00B43165">
        <w:rPr>
          <w:rFonts w:cs="Times New Roman"/>
          <w:b/>
          <w:sz w:val="28"/>
          <w:szCs w:val="28"/>
        </w:rPr>
        <w:t>principa</w:t>
      </w:r>
      <w:proofErr w:type="spellEnd"/>
      <w:r w:rsidRPr="00B43165">
        <w:rPr>
          <w:rFonts w:cs="Times New Roman"/>
          <w:b/>
          <w:sz w:val="28"/>
          <w:szCs w:val="28"/>
        </w:rPr>
        <w:t xml:space="preserve"> </w:t>
      </w:r>
      <w:proofErr w:type="spellStart"/>
      <w:r w:rsidRPr="00B43165">
        <w:rPr>
          <w:rFonts w:cs="Times New Roman"/>
          <w:b/>
          <w:sz w:val="28"/>
          <w:szCs w:val="28"/>
        </w:rPr>
        <w:t>jednakosti</w:t>
      </w:r>
      <w:proofErr w:type="spellEnd"/>
      <w:r w:rsidRPr="00B43165">
        <w:rPr>
          <w:rFonts w:cs="Times New Roman"/>
          <w:b/>
          <w:sz w:val="28"/>
          <w:szCs w:val="28"/>
        </w:rPr>
        <w:t xml:space="preserve"> EU-a</w:t>
      </w:r>
    </w:p>
    <w:p w14:paraId="0D82FD03" w14:textId="77777777" w:rsidR="007662CA" w:rsidRPr="0097588F" w:rsidRDefault="007662CA" w:rsidP="0097588F">
      <w:pPr>
        <w:jc w:val="center"/>
        <w:rPr>
          <w:rFonts w:cs="Times New Roman"/>
          <w:b/>
        </w:rPr>
      </w:pPr>
    </w:p>
    <w:p w14:paraId="4CF02CD0" w14:textId="77777777" w:rsidR="0097588F" w:rsidRPr="0097588F" w:rsidRDefault="0097588F" w:rsidP="0097588F">
      <w:pPr>
        <w:jc w:val="center"/>
        <w:rPr>
          <w:rFonts w:cs="Times New Roman"/>
          <w:b/>
        </w:rPr>
      </w:pPr>
    </w:p>
    <w:p w14:paraId="34F4000E" w14:textId="77777777" w:rsidR="0097588F" w:rsidRPr="0097588F" w:rsidRDefault="0097588F" w:rsidP="0097588F">
      <w:pPr>
        <w:jc w:val="center"/>
        <w:rPr>
          <w:rFonts w:cs="Times New Roman"/>
          <w:b/>
        </w:rPr>
      </w:pPr>
    </w:p>
    <w:p w14:paraId="0FB2E06C" w14:textId="77777777" w:rsidR="0097588F" w:rsidRPr="0097588F" w:rsidRDefault="0097588F" w:rsidP="0097588F">
      <w:pPr>
        <w:jc w:val="center"/>
        <w:rPr>
          <w:rFonts w:cs="Times New Roman"/>
          <w:b/>
        </w:rPr>
      </w:pPr>
    </w:p>
    <w:p w14:paraId="5C583FB6" w14:textId="77777777" w:rsidR="0097588F" w:rsidRPr="0097588F" w:rsidRDefault="0097588F" w:rsidP="0097588F">
      <w:pPr>
        <w:jc w:val="center"/>
        <w:rPr>
          <w:rFonts w:cs="Times New Roman"/>
          <w:b/>
        </w:rPr>
      </w:pPr>
    </w:p>
    <w:p w14:paraId="409116F6" w14:textId="77777777" w:rsidR="0097588F" w:rsidRPr="0097588F" w:rsidRDefault="0097588F" w:rsidP="0097588F">
      <w:pPr>
        <w:jc w:val="center"/>
        <w:rPr>
          <w:rFonts w:cs="Times New Roman"/>
          <w:b/>
        </w:rPr>
      </w:pPr>
    </w:p>
    <w:p w14:paraId="7531200C" w14:textId="77777777" w:rsidR="007662CA" w:rsidRPr="0097588F" w:rsidRDefault="007662CA" w:rsidP="0097588F">
      <w:pPr>
        <w:jc w:val="center"/>
        <w:rPr>
          <w:rFonts w:cs="Times New Roman"/>
        </w:rPr>
      </w:pPr>
    </w:p>
    <w:p w14:paraId="78A762E5" w14:textId="77777777" w:rsidR="007662CA" w:rsidRPr="0097588F" w:rsidRDefault="007662CA" w:rsidP="0097588F">
      <w:pPr>
        <w:jc w:val="center"/>
        <w:rPr>
          <w:rFonts w:cs="Times New Roman"/>
        </w:rPr>
      </w:pPr>
    </w:p>
    <w:p w14:paraId="4889D2D1" w14:textId="0C183D6B" w:rsidR="007662CA" w:rsidRPr="0097588F" w:rsidRDefault="00AB0BEE" w:rsidP="0097588F">
      <w:pPr>
        <w:jc w:val="center"/>
        <w:rPr>
          <w:rFonts w:cs="Times New Roman"/>
          <w:sz w:val="24"/>
          <w:szCs w:val="24"/>
        </w:rPr>
      </w:pPr>
      <w:r>
        <w:rPr>
          <w:rFonts w:cs="Times New Roman"/>
          <w:sz w:val="24"/>
          <w:szCs w:val="24"/>
        </w:rPr>
        <w:t xml:space="preserve">AUTOR: SARA HUNGLER </w:t>
      </w:r>
    </w:p>
    <w:p w14:paraId="7CF97307" w14:textId="77777777" w:rsidR="007662CA" w:rsidRPr="0097588F" w:rsidRDefault="007662CA" w:rsidP="0097588F">
      <w:pPr>
        <w:jc w:val="center"/>
        <w:rPr>
          <w:rFonts w:cs="Times New Roman"/>
        </w:rPr>
      </w:pPr>
    </w:p>
    <w:p w14:paraId="192AC026" w14:textId="77777777" w:rsidR="0097588F" w:rsidRPr="0097588F" w:rsidRDefault="0097588F" w:rsidP="0097588F">
      <w:pPr>
        <w:jc w:val="center"/>
        <w:rPr>
          <w:rFonts w:cs="Times New Roman"/>
        </w:rPr>
      </w:pPr>
    </w:p>
    <w:p w14:paraId="217A6260" w14:textId="77777777" w:rsidR="003D06AA" w:rsidRPr="003D06AA" w:rsidRDefault="003D06AA" w:rsidP="003D06AA">
      <w:pPr>
        <w:jc w:val="center"/>
        <w:rPr>
          <w:rFonts w:eastAsia="Times New Roman" w:cs="Times New Roman"/>
          <w:lang w:eastAsia="hu-HU"/>
        </w:rPr>
      </w:pPr>
      <w:r w:rsidRPr="003D06AA">
        <w:rPr>
          <w:rFonts w:eastAsia="Times New Roman" w:cs="Times New Roman"/>
          <w:b/>
          <w:lang w:eastAsia="hu-HU"/>
        </w:rPr>
        <w:t xml:space="preserve">PREVLADAVANJE GENERACIJSKOG JAZA </w:t>
      </w:r>
      <w:r w:rsidRPr="003D06AA">
        <w:rPr>
          <w:rFonts w:eastAsia="Times New Roman" w:cs="Times New Roman"/>
          <w:b/>
          <w:lang w:eastAsia="hu-HU"/>
        </w:rPr>
        <w:softHyphen/>
        <w:t xml:space="preserve">– RAZVOJ INICIJATIVA SOCIJALNIH PARTNERA ZA UPRAVLJANJE GENERACIJSKIM IZAZOVIMA </w:t>
      </w:r>
    </w:p>
    <w:p w14:paraId="181A310C" w14:textId="77777777" w:rsidR="0097588F" w:rsidRPr="0097588F" w:rsidRDefault="0097588F" w:rsidP="0097588F">
      <w:pPr>
        <w:jc w:val="center"/>
        <w:rPr>
          <w:rFonts w:cs="Times New Roman"/>
          <w:i/>
          <w:iCs/>
          <w:sz w:val="24"/>
          <w:szCs w:val="24"/>
          <w:shd w:val="clear" w:color="auto" w:fill="FFFFFF"/>
        </w:rPr>
      </w:pPr>
    </w:p>
    <w:p w14:paraId="3FD85886" w14:textId="77777777" w:rsidR="0097588F" w:rsidRPr="0097588F" w:rsidRDefault="0097588F" w:rsidP="0097588F">
      <w:pPr>
        <w:jc w:val="center"/>
        <w:rPr>
          <w:rFonts w:cs="Times New Roman"/>
          <w:i/>
          <w:iCs/>
          <w:sz w:val="24"/>
          <w:szCs w:val="24"/>
          <w:shd w:val="clear" w:color="auto" w:fill="FFFFFF"/>
        </w:rPr>
      </w:pPr>
    </w:p>
    <w:p w14:paraId="69C8EB3D" w14:textId="77777777" w:rsidR="0097588F" w:rsidRPr="0097588F" w:rsidRDefault="0097588F" w:rsidP="0097588F">
      <w:pPr>
        <w:jc w:val="center"/>
        <w:rPr>
          <w:rFonts w:cs="Times New Roman"/>
          <w:i/>
          <w:iCs/>
          <w:sz w:val="24"/>
          <w:szCs w:val="24"/>
          <w:shd w:val="clear" w:color="auto" w:fill="FFFFFF"/>
        </w:rPr>
      </w:pPr>
    </w:p>
    <w:p w14:paraId="5BF565D7" w14:textId="77777777" w:rsidR="0097588F" w:rsidRPr="0097588F" w:rsidRDefault="0097588F" w:rsidP="0097588F">
      <w:pPr>
        <w:jc w:val="center"/>
        <w:rPr>
          <w:rFonts w:cs="Times New Roman"/>
          <w:i/>
          <w:iCs/>
          <w:sz w:val="24"/>
          <w:szCs w:val="24"/>
          <w:shd w:val="clear" w:color="auto" w:fill="FFFFFF"/>
        </w:rPr>
      </w:pPr>
    </w:p>
    <w:p w14:paraId="7050CB69" w14:textId="77777777" w:rsidR="0097588F" w:rsidRPr="0097588F" w:rsidRDefault="0097588F" w:rsidP="0097588F">
      <w:pPr>
        <w:jc w:val="center"/>
        <w:rPr>
          <w:rFonts w:cs="Times New Roman"/>
          <w:i/>
          <w:iCs/>
          <w:sz w:val="24"/>
          <w:szCs w:val="24"/>
          <w:shd w:val="clear" w:color="auto" w:fill="FFFFFF"/>
        </w:rPr>
      </w:pPr>
    </w:p>
    <w:p w14:paraId="32CE3306" w14:textId="77777777" w:rsidR="007662CA" w:rsidRPr="0097588F" w:rsidRDefault="007662CA" w:rsidP="0097588F">
      <w:pPr>
        <w:pStyle w:val="Header"/>
        <w:jc w:val="center"/>
        <w:rPr>
          <w:rFonts w:cs="Times New Roman"/>
        </w:rPr>
      </w:pPr>
      <w:r w:rsidRPr="0097588F">
        <w:rPr>
          <w:rFonts w:cs="Times New Roman"/>
        </w:rPr>
        <w:t>The „AGEGAP” project (VS/2019/0031) is co-funded by the European Commission in frame of the program VP/2018/001 Support for social dialogue</w:t>
      </w:r>
    </w:p>
    <w:p w14:paraId="2B884AC4" w14:textId="36FF53EE" w:rsidR="007662CA" w:rsidRPr="0097588F" w:rsidRDefault="007662CA" w:rsidP="0097588F">
      <w:pPr>
        <w:pStyle w:val="Header"/>
        <w:jc w:val="center"/>
        <w:rPr>
          <w:rFonts w:cs="Times New Roman"/>
        </w:rPr>
      </w:pPr>
      <w:r w:rsidRPr="0097588F">
        <w:rPr>
          <w:rFonts w:cs="Times New Roman"/>
        </w:rPr>
        <w:t>Sole responsibility lies with the authors, the publication reflects only the author’s view and the Commission is not responsible for any use that may be made of the information contained herein.</w:t>
      </w:r>
    </w:p>
    <w:p w14:paraId="3FBEAF55" w14:textId="77777777" w:rsidR="007662CA" w:rsidRPr="0097588F" w:rsidRDefault="007662CA" w:rsidP="0097588F">
      <w:pPr>
        <w:pStyle w:val="Heading1"/>
        <w:jc w:val="center"/>
        <w:rPr>
          <w:rFonts w:ascii="Times New Roman" w:hAnsi="Times New Roman" w:cs="Times New Roman"/>
          <w:b/>
          <w:color w:val="auto"/>
        </w:rPr>
      </w:pPr>
    </w:p>
    <w:p w14:paraId="25B35D3B" w14:textId="7ECD0499" w:rsidR="007662CA" w:rsidRPr="00B14D70" w:rsidRDefault="0016202C" w:rsidP="0097588F">
      <w:pPr>
        <w:jc w:val="center"/>
        <w:rPr>
          <w:rFonts w:cs="Times New Roman"/>
          <w:lang w:val="it-IT"/>
        </w:rPr>
      </w:pPr>
      <w:hyperlink r:id="rId14" w:history="1">
        <w:r w:rsidR="007662CA" w:rsidRPr="00B14D70">
          <w:rPr>
            <w:rStyle w:val="Hyperlink"/>
            <w:rFonts w:cs="Times New Roman"/>
            <w:b/>
            <w:color w:val="auto"/>
            <w:lang w:val="it-IT"/>
          </w:rPr>
          <w:t>www.agegap.eu</w:t>
        </w:r>
      </w:hyperlink>
      <w:r w:rsidR="0097588F" w:rsidRPr="00B14D70">
        <w:rPr>
          <w:rFonts w:cs="Times New Roman"/>
          <w:lang w:val="it-IT"/>
        </w:rPr>
        <w:br/>
      </w:r>
      <w:r w:rsidR="007662CA" w:rsidRPr="00B14D70">
        <w:rPr>
          <w:rFonts w:cs="Times New Roman"/>
          <w:lang w:val="it-IT"/>
        </w:rPr>
        <w:t>2020.</w:t>
      </w:r>
    </w:p>
    <w:p w14:paraId="5F619501" w14:textId="77777777" w:rsidR="003D06AA" w:rsidRPr="00B14D70" w:rsidRDefault="003D06AA">
      <w:pPr>
        <w:pStyle w:val="TOC1"/>
        <w:tabs>
          <w:tab w:val="right" w:leader="dot" w:pos="9062"/>
        </w:tabs>
        <w:rPr>
          <w:rStyle w:val="Emphasis"/>
          <w:rFonts w:ascii="Times New Roman" w:hAnsi="Times New Roman" w:cs="Times New Roman"/>
          <w:i w:val="0"/>
          <w:color w:val="auto"/>
          <w:sz w:val="22"/>
          <w:szCs w:val="22"/>
          <w:lang w:val="it-IT"/>
        </w:rPr>
      </w:pPr>
    </w:p>
    <w:p w14:paraId="7B2C82DB" w14:textId="77777777" w:rsidR="003D06AA" w:rsidRPr="00B14D70" w:rsidRDefault="003D06AA">
      <w:pPr>
        <w:pStyle w:val="TOC1"/>
        <w:tabs>
          <w:tab w:val="right" w:leader="dot" w:pos="9062"/>
        </w:tabs>
        <w:rPr>
          <w:rStyle w:val="Emphasis"/>
          <w:rFonts w:ascii="Times New Roman" w:hAnsi="Times New Roman" w:cs="Times New Roman"/>
          <w:i w:val="0"/>
          <w:color w:val="auto"/>
          <w:sz w:val="22"/>
          <w:szCs w:val="22"/>
          <w:lang w:val="it-IT"/>
        </w:rPr>
      </w:pPr>
    </w:p>
    <w:p w14:paraId="55290763" w14:textId="77777777" w:rsidR="003D06AA" w:rsidRPr="00B14D70" w:rsidRDefault="003D06AA">
      <w:pPr>
        <w:pStyle w:val="TOC1"/>
        <w:tabs>
          <w:tab w:val="right" w:leader="dot" w:pos="9062"/>
        </w:tabs>
        <w:rPr>
          <w:rStyle w:val="Emphasis"/>
          <w:rFonts w:ascii="Times New Roman" w:hAnsi="Times New Roman" w:cs="Times New Roman"/>
          <w:i w:val="0"/>
          <w:color w:val="auto"/>
          <w:sz w:val="22"/>
          <w:szCs w:val="22"/>
          <w:lang w:val="it-IT"/>
        </w:rPr>
      </w:pPr>
    </w:p>
    <w:p w14:paraId="6F764F70" w14:textId="77777777" w:rsidR="003D06AA" w:rsidRPr="00B14D70" w:rsidRDefault="003D06AA">
      <w:pPr>
        <w:pStyle w:val="TOC1"/>
        <w:tabs>
          <w:tab w:val="right" w:leader="dot" w:pos="9062"/>
        </w:tabs>
        <w:rPr>
          <w:rStyle w:val="Emphasis"/>
          <w:rFonts w:ascii="Times New Roman" w:hAnsi="Times New Roman" w:cs="Times New Roman"/>
          <w:i w:val="0"/>
          <w:color w:val="auto"/>
          <w:sz w:val="22"/>
          <w:szCs w:val="22"/>
          <w:lang w:val="it-IT"/>
        </w:rPr>
      </w:pPr>
    </w:p>
    <w:p w14:paraId="16079455" w14:textId="220D3350" w:rsidR="00246E42" w:rsidRPr="00B14D70" w:rsidRDefault="00246E42">
      <w:pPr>
        <w:pStyle w:val="TOC1"/>
        <w:tabs>
          <w:tab w:val="right" w:leader="dot" w:pos="9062"/>
        </w:tabs>
        <w:rPr>
          <w:rStyle w:val="Emphasis"/>
          <w:rFonts w:ascii="Times New Roman" w:hAnsi="Times New Roman" w:cs="Times New Roman"/>
          <w:i w:val="0"/>
          <w:color w:val="auto"/>
          <w:sz w:val="22"/>
          <w:szCs w:val="22"/>
          <w:lang w:val="it-IT"/>
        </w:rPr>
      </w:pPr>
      <w:r w:rsidRPr="00246E42">
        <w:rPr>
          <w:rStyle w:val="Emphasis"/>
          <w:rFonts w:ascii="Times New Roman" w:hAnsi="Times New Roman" w:cs="Times New Roman"/>
          <w:i w:val="0"/>
          <w:color w:val="auto"/>
          <w:sz w:val="22"/>
          <w:szCs w:val="22"/>
        </w:rPr>
        <w:fldChar w:fldCharType="begin"/>
      </w:r>
      <w:r w:rsidRPr="00B14D70">
        <w:rPr>
          <w:rStyle w:val="Emphasis"/>
          <w:rFonts w:ascii="Times New Roman" w:hAnsi="Times New Roman" w:cs="Times New Roman"/>
          <w:i w:val="0"/>
          <w:color w:val="auto"/>
          <w:sz w:val="22"/>
          <w:szCs w:val="22"/>
          <w:lang w:val="it-IT"/>
        </w:rPr>
        <w:instrText xml:space="preserve"> TOC \o "1-3" </w:instrText>
      </w:r>
      <w:r w:rsidRPr="00246E42">
        <w:rPr>
          <w:rStyle w:val="Emphasis"/>
          <w:rFonts w:ascii="Times New Roman" w:hAnsi="Times New Roman" w:cs="Times New Roman"/>
          <w:i w:val="0"/>
          <w:color w:val="auto"/>
          <w:sz w:val="22"/>
          <w:szCs w:val="22"/>
        </w:rPr>
        <w:fldChar w:fldCharType="separate"/>
      </w:r>
    </w:p>
    <w:p w14:paraId="3A72F426" w14:textId="7740F4AA" w:rsidR="00246E42" w:rsidRPr="00C36533" w:rsidRDefault="00C36533">
      <w:pPr>
        <w:pStyle w:val="TOC1"/>
        <w:tabs>
          <w:tab w:val="right" w:leader="dot" w:pos="9062"/>
        </w:tabs>
        <w:rPr>
          <w:rFonts w:ascii="Times New Roman" w:eastAsiaTheme="minorEastAsia" w:hAnsi="Times New Roman" w:cs="Times New Roman"/>
          <w:b w:val="0"/>
          <w:noProof/>
          <w:color w:val="auto"/>
          <w:sz w:val="22"/>
          <w:szCs w:val="22"/>
          <w:lang w:val="it-IT" w:eastAsia="ja-JP"/>
        </w:rPr>
      </w:pPr>
      <w:r w:rsidRPr="00C36533">
        <w:rPr>
          <w:rFonts w:ascii="Times New Roman" w:hAnsi="Times New Roman" w:cs="Times New Roman"/>
          <w:b w:val="0"/>
          <w:noProof/>
          <w:color w:val="auto"/>
          <w:sz w:val="22"/>
          <w:szCs w:val="22"/>
          <w:lang w:val="it-IT"/>
        </w:rPr>
        <w:t xml:space="preserve">Zabrana diskriminacije zasnovane za dobi </w:t>
      </w:r>
      <w:r w:rsidR="00246E42" w:rsidRPr="00C36533">
        <w:rPr>
          <w:rFonts w:ascii="Times New Roman" w:hAnsi="Times New Roman" w:cs="Times New Roman"/>
          <w:b w:val="0"/>
          <w:noProof/>
          <w:color w:val="auto"/>
          <w:sz w:val="22"/>
          <w:szCs w:val="22"/>
          <w:lang w:val="it-IT"/>
        </w:rPr>
        <w:tab/>
      </w:r>
      <w:r w:rsidR="00246E42" w:rsidRPr="00246E42">
        <w:rPr>
          <w:rFonts w:ascii="Times New Roman" w:hAnsi="Times New Roman" w:cs="Times New Roman"/>
          <w:b w:val="0"/>
          <w:noProof/>
          <w:color w:val="auto"/>
          <w:sz w:val="22"/>
          <w:szCs w:val="22"/>
        </w:rPr>
        <w:fldChar w:fldCharType="begin"/>
      </w:r>
      <w:r w:rsidR="00246E42" w:rsidRPr="00C36533">
        <w:rPr>
          <w:rFonts w:ascii="Times New Roman" w:hAnsi="Times New Roman" w:cs="Times New Roman"/>
          <w:b w:val="0"/>
          <w:noProof/>
          <w:color w:val="auto"/>
          <w:sz w:val="22"/>
          <w:szCs w:val="22"/>
          <w:lang w:val="it-IT"/>
        </w:rPr>
        <w:instrText xml:space="preserve"> PAGEREF _Toc468701278 \h </w:instrText>
      </w:r>
      <w:r w:rsidR="00246E42" w:rsidRPr="00246E42">
        <w:rPr>
          <w:rFonts w:ascii="Times New Roman" w:hAnsi="Times New Roman" w:cs="Times New Roman"/>
          <w:b w:val="0"/>
          <w:noProof/>
          <w:color w:val="auto"/>
          <w:sz w:val="22"/>
          <w:szCs w:val="22"/>
        </w:rPr>
      </w:r>
      <w:r w:rsidR="00246E42" w:rsidRPr="00246E42">
        <w:rPr>
          <w:rFonts w:ascii="Times New Roman" w:hAnsi="Times New Roman" w:cs="Times New Roman"/>
          <w:b w:val="0"/>
          <w:noProof/>
          <w:color w:val="auto"/>
          <w:sz w:val="22"/>
          <w:szCs w:val="22"/>
        </w:rPr>
        <w:fldChar w:fldCharType="separate"/>
      </w:r>
      <w:r w:rsidR="002373EE" w:rsidRPr="00C36533">
        <w:rPr>
          <w:rFonts w:ascii="Times New Roman" w:hAnsi="Times New Roman" w:cs="Times New Roman"/>
          <w:b w:val="0"/>
          <w:noProof/>
          <w:color w:val="auto"/>
          <w:sz w:val="22"/>
          <w:szCs w:val="22"/>
          <w:lang w:val="it-IT"/>
        </w:rPr>
        <w:t>4</w:t>
      </w:r>
      <w:r w:rsidR="00246E42" w:rsidRPr="00246E42">
        <w:rPr>
          <w:rFonts w:ascii="Times New Roman" w:hAnsi="Times New Roman" w:cs="Times New Roman"/>
          <w:b w:val="0"/>
          <w:noProof/>
          <w:color w:val="auto"/>
          <w:sz w:val="22"/>
          <w:szCs w:val="22"/>
        </w:rPr>
        <w:fldChar w:fldCharType="end"/>
      </w:r>
    </w:p>
    <w:p w14:paraId="670D2E71" w14:textId="7B6D9DD7" w:rsidR="00246E42" w:rsidRPr="00C36533" w:rsidRDefault="00C36533">
      <w:pPr>
        <w:pStyle w:val="TOC1"/>
        <w:tabs>
          <w:tab w:val="right" w:leader="dot" w:pos="9062"/>
        </w:tabs>
        <w:rPr>
          <w:rFonts w:ascii="Times New Roman" w:eastAsiaTheme="minorEastAsia" w:hAnsi="Times New Roman" w:cs="Times New Roman"/>
          <w:b w:val="0"/>
          <w:noProof/>
          <w:color w:val="auto"/>
          <w:sz w:val="22"/>
          <w:szCs w:val="22"/>
          <w:lang w:val="it-IT" w:eastAsia="ja-JP"/>
        </w:rPr>
      </w:pPr>
      <w:r w:rsidRPr="00C36533">
        <w:rPr>
          <w:rFonts w:ascii="Times New Roman" w:hAnsi="Times New Roman" w:cs="Times New Roman"/>
          <w:b w:val="0"/>
          <w:noProof/>
          <w:color w:val="auto"/>
          <w:sz w:val="22"/>
          <w:szCs w:val="22"/>
          <w:lang w:val="it-IT"/>
        </w:rPr>
        <w:t xml:space="preserve">Uloga kolektivnih ugovora </w:t>
      </w:r>
      <w:r w:rsidR="00246E42" w:rsidRPr="00C36533">
        <w:rPr>
          <w:rFonts w:ascii="Times New Roman" w:hAnsi="Times New Roman" w:cs="Times New Roman"/>
          <w:b w:val="0"/>
          <w:noProof/>
          <w:color w:val="auto"/>
          <w:sz w:val="22"/>
          <w:szCs w:val="22"/>
          <w:lang w:val="it-IT"/>
        </w:rPr>
        <w:tab/>
      </w:r>
      <w:r w:rsidR="00246E42" w:rsidRPr="00246E42">
        <w:rPr>
          <w:rFonts w:ascii="Times New Roman" w:hAnsi="Times New Roman" w:cs="Times New Roman"/>
          <w:b w:val="0"/>
          <w:noProof/>
          <w:color w:val="auto"/>
          <w:sz w:val="22"/>
          <w:szCs w:val="22"/>
        </w:rPr>
        <w:fldChar w:fldCharType="begin"/>
      </w:r>
      <w:r w:rsidR="00246E42" w:rsidRPr="00C36533">
        <w:rPr>
          <w:rFonts w:ascii="Times New Roman" w:hAnsi="Times New Roman" w:cs="Times New Roman"/>
          <w:b w:val="0"/>
          <w:noProof/>
          <w:color w:val="auto"/>
          <w:sz w:val="22"/>
          <w:szCs w:val="22"/>
          <w:lang w:val="it-IT"/>
        </w:rPr>
        <w:instrText xml:space="preserve"> PAGEREF _Toc468701279 \h </w:instrText>
      </w:r>
      <w:r w:rsidR="00246E42" w:rsidRPr="00246E42">
        <w:rPr>
          <w:rFonts w:ascii="Times New Roman" w:hAnsi="Times New Roman" w:cs="Times New Roman"/>
          <w:b w:val="0"/>
          <w:noProof/>
          <w:color w:val="auto"/>
          <w:sz w:val="22"/>
          <w:szCs w:val="22"/>
        </w:rPr>
      </w:r>
      <w:r w:rsidR="00246E42" w:rsidRPr="00246E42">
        <w:rPr>
          <w:rFonts w:ascii="Times New Roman" w:hAnsi="Times New Roman" w:cs="Times New Roman"/>
          <w:b w:val="0"/>
          <w:noProof/>
          <w:color w:val="auto"/>
          <w:sz w:val="22"/>
          <w:szCs w:val="22"/>
        </w:rPr>
        <w:fldChar w:fldCharType="separate"/>
      </w:r>
      <w:r w:rsidR="002373EE" w:rsidRPr="00C36533">
        <w:rPr>
          <w:rFonts w:ascii="Times New Roman" w:hAnsi="Times New Roman" w:cs="Times New Roman"/>
          <w:b w:val="0"/>
          <w:noProof/>
          <w:color w:val="auto"/>
          <w:sz w:val="22"/>
          <w:szCs w:val="22"/>
          <w:lang w:val="it-IT"/>
        </w:rPr>
        <w:t>5</w:t>
      </w:r>
      <w:r w:rsidR="00246E42" w:rsidRPr="00246E42">
        <w:rPr>
          <w:rFonts w:ascii="Times New Roman" w:hAnsi="Times New Roman" w:cs="Times New Roman"/>
          <w:b w:val="0"/>
          <w:noProof/>
          <w:color w:val="auto"/>
          <w:sz w:val="22"/>
          <w:szCs w:val="22"/>
        </w:rPr>
        <w:fldChar w:fldCharType="end"/>
      </w:r>
    </w:p>
    <w:p w14:paraId="7FBBA0AE" w14:textId="5DFD4FB3" w:rsidR="00246E42" w:rsidRPr="00C36533" w:rsidRDefault="00C36533">
      <w:pPr>
        <w:pStyle w:val="TOC1"/>
        <w:tabs>
          <w:tab w:val="right" w:leader="dot" w:pos="9062"/>
        </w:tabs>
        <w:rPr>
          <w:rFonts w:ascii="Times New Roman" w:eastAsiaTheme="minorEastAsia" w:hAnsi="Times New Roman" w:cs="Times New Roman"/>
          <w:b w:val="0"/>
          <w:noProof/>
          <w:color w:val="auto"/>
          <w:sz w:val="22"/>
          <w:szCs w:val="22"/>
          <w:lang w:val="it-IT" w:eastAsia="ja-JP"/>
        </w:rPr>
      </w:pPr>
      <w:r w:rsidRPr="00C36533">
        <w:rPr>
          <w:rFonts w:ascii="Times New Roman" w:hAnsi="Times New Roman" w:cs="Times New Roman"/>
          <w:b w:val="0"/>
          <w:noProof/>
          <w:color w:val="auto"/>
          <w:sz w:val="22"/>
          <w:szCs w:val="22"/>
          <w:lang w:val="it-IT"/>
        </w:rPr>
        <w:t>Vodeći p</w:t>
      </w:r>
      <w:r>
        <w:rPr>
          <w:rFonts w:ascii="Times New Roman" w:hAnsi="Times New Roman" w:cs="Times New Roman"/>
          <w:b w:val="0"/>
          <w:noProof/>
          <w:color w:val="auto"/>
          <w:sz w:val="22"/>
          <w:szCs w:val="22"/>
          <w:lang w:val="it-IT"/>
        </w:rPr>
        <w:t xml:space="preserve">rincipi </w:t>
      </w:r>
      <w:r w:rsidR="00246E42" w:rsidRPr="00C36533">
        <w:rPr>
          <w:rFonts w:ascii="Times New Roman" w:hAnsi="Times New Roman" w:cs="Times New Roman"/>
          <w:b w:val="0"/>
          <w:noProof/>
          <w:color w:val="auto"/>
          <w:sz w:val="22"/>
          <w:szCs w:val="22"/>
          <w:lang w:val="it-IT"/>
        </w:rPr>
        <w:tab/>
      </w:r>
      <w:r w:rsidR="00246E42" w:rsidRPr="00246E42">
        <w:rPr>
          <w:rFonts w:ascii="Times New Roman" w:hAnsi="Times New Roman" w:cs="Times New Roman"/>
          <w:b w:val="0"/>
          <w:noProof/>
          <w:color w:val="auto"/>
          <w:sz w:val="22"/>
          <w:szCs w:val="22"/>
        </w:rPr>
        <w:fldChar w:fldCharType="begin"/>
      </w:r>
      <w:r w:rsidR="00246E42" w:rsidRPr="00C36533">
        <w:rPr>
          <w:rFonts w:ascii="Times New Roman" w:hAnsi="Times New Roman" w:cs="Times New Roman"/>
          <w:b w:val="0"/>
          <w:noProof/>
          <w:color w:val="auto"/>
          <w:sz w:val="22"/>
          <w:szCs w:val="22"/>
          <w:lang w:val="it-IT"/>
        </w:rPr>
        <w:instrText xml:space="preserve"> PAGEREF _Toc468701280 \h </w:instrText>
      </w:r>
      <w:r w:rsidR="00246E42" w:rsidRPr="00246E42">
        <w:rPr>
          <w:rFonts w:ascii="Times New Roman" w:hAnsi="Times New Roman" w:cs="Times New Roman"/>
          <w:b w:val="0"/>
          <w:noProof/>
          <w:color w:val="auto"/>
          <w:sz w:val="22"/>
          <w:szCs w:val="22"/>
        </w:rPr>
      </w:r>
      <w:r w:rsidR="00246E42" w:rsidRPr="00246E42">
        <w:rPr>
          <w:rFonts w:ascii="Times New Roman" w:hAnsi="Times New Roman" w:cs="Times New Roman"/>
          <w:b w:val="0"/>
          <w:noProof/>
          <w:color w:val="auto"/>
          <w:sz w:val="22"/>
          <w:szCs w:val="22"/>
        </w:rPr>
        <w:fldChar w:fldCharType="separate"/>
      </w:r>
      <w:r w:rsidR="002373EE" w:rsidRPr="00C36533">
        <w:rPr>
          <w:rFonts w:ascii="Times New Roman" w:hAnsi="Times New Roman" w:cs="Times New Roman"/>
          <w:b w:val="0"/>
          <w:noProof/>
          <w:color w:val="auto"/>
          <w:sz w:val="22"/>
          <w:szCs w:val="22"/>
          <w:lang w:val="it-IT"/>
        </w:rPr>
        <w:t>6</w:t>
      </w:r>
      <w:r w:rsidR="00246E42" w:rsidRPr="00246E42">
        <w:rPr>
          <w:rFonts w:ascii="Times New Roman" w:hAnsi="Times New Roman" w:cs="Times New Roman"/>
          <w:b w:val="0"/>
          <w:noProof/>
          <w:color w:val="auto"/>
          <w:sz w:val="22"/>
          <w:szCs w:val="22"/>
        </w:rPr>
        <w:fldChar w:fldCharType="end"/>
      </w:r>
    </w:p>
    <w:p w14:paraId="5C10282C" w14:textId="6B7F3D63" w:rsidR="00246E42" w:rsidRPr="00C36533" w:rsidRDefault="00C36533">
      <w:pPr>
        <w:pStyle w:val="TOC2"/>
        <w:tabs>
          <w:tab w:val="right" w:leader="dot" w:pos="9062"/>
        </w:tabs>
        <w:rPr>
          <w:rFonts w:ascii="Times New Roman" w:eastAsiaTheme="minorEastAsia" w:hAnsi="Times New Roman" w:cs="Times New Roman"/>
          <w:noProof/>
          <w:lang w:val="it-IT" w:eastAsia="ja-JP"/>
        </w:rPr>
      </w:pPr>
      <w:r w:rsidRPr="00C36533">
        <w:rPr>
          <w:rFonts w:ascii="Times New Roman" w:hAnsi="Times New Roman" w:cs="Times New Roman"/>
          <w:noProof/>
          <w:lang w:val="it-IT"/>
        </w:rPr>
        <w:t>Opravda</w:t>
      </w:r>
      <w:r w:rsidR="008D741C">
        <w:rPr>
          <w:rFonts w:ascii="Times New Roman" w:hAnsi="Times New Roman" w:cs="Times New Roman"/>
          <w:noProof/>
          <w:lang w:val="it-IT"/>
        </w:rPr>
        <w:t>nost</w:t>
      </w:r>
      <w:r w:rsidRPr="00C36533">
        <w:rPr>
          <w:rFonts w:ascii="Times New Roman" w:hAnsi="Times New Roman" w:cs="Times New Roman"/>
          <w:noProof/>
          <w:lang w:val="it-IT"/>
        </w:rPr>
        <w:t xml:space="preserve"> </w:t>
      </w:r>
      <w:r w:rsidR="00246E42" w:rsidRPr="00C36533">
        <w:rPr>
          <w:rFonts w:ascii="Times New Roman" w:hAnsi="Times New Roman" w:cs="Times New Roman"/>
          <w:noProof/>
          <w:lang w:val="it-IT"/>
        </w:rPr>
        <w:tab/>
      </w:r>
      <w:r w:rsidR="00246E42" w:rsidRPr="00246E42">
        <w:rPr>
          <w:rFonts w:ascii="Times New Roman" w:hAnsi="Times New Roman" w:cs="Times New Roman"/>
          <w:noProof/>
        </w:rPr>
        <w:fldChar w:fldCharType="begin"/>
      </w:r>
      <w:r w:rsidR="00246E42" w:rsidRPr="00C36533">
        <w:rPr>
          <w:rFonts w:ascii="Times New Roman" w:hAnsi="Times New Roman" w:cs="Times New Roman"/>
          <w:noProof/>
          <w:lang w:val="it-IT"/>
        </w:rPr>
        <w:instrText xml:space="preserve"> PAGEREF _Toc468701281 \h </w:instrText>
      </w:r>
      <w:r w:rsidR="00246E42" w:rsidRPr="00246E42">
        <w:rPr>
          <w:rFonts w:ascii="Times New Roman" w:hAnsi="Times New Roman" w:cs="Times New Roman"/>
          <w:noProof/>
        </w:rPr>
      </w:r>
      <w:r w:rsidR="00246E42" w:rsidRPr="00246E42">
        <w:rPr>
          <w:rFonts w:ascii="Times New Roman" w:hAnsi="Times New Roman" w:cs="Times New Roman"/>
          <w:noProof/>
        </w:rPr>
        <w:fldChar w:fldCharType="separate"/>
      </w:r>
      <w:r w:rsidR="002373EE" w:rsidRPr="00C36533">
        <w:rPr>
          <w:rFonts w:ascii="Times New Roman" w:hAnsi="Times New Roman" w:cs="Times New Roman"/>
          <w:noProof/>
          <w:lang w:val="it-IT"/>
        </w:rPr>
        <w:t>7</w:t>
      </w:r>
      <w:r w:rsidR="00246E42" w:rsidRPr="00246E42">
        <w:rPr>
          <w:rFonts w:ascii="Times New Roman" w:hAnsi="Times New Roman" w:cs="Times New Roman"/>
          <w:noProof/>
        </w:rPr>
        <w:fldChar w:fldCharType="end"/>
      </w:r>
    </w:p>
    <w:p w14:paraId="72E20EA7" w14:textId="5BA2B061" w:rsidR="00246E42" w:rsidRPr="00C36533" w:rsidRDefault="00C36533">
      <w:pPr>
        <w:pStyle w:val="TOC1"/>
        <w:tabs>
          <w:tab w:val="right" w:leader="dot" w:pos="9062"/>
        </w:tabs>
        <w:rPr>
          <w:rFonts w:ascii="Times New Roman" w:eastAsiaTheme="minorEastAsia" w:hAnsi="Times New Roman" w:cs="Times New Roman"/>
          <w:b w:val="0"/>
          <w:noProof/>
          <w:color w:val="auto"/>
          <w:sz w:val="22"/>
          <w:szCs w:val="22"/>
          <w:lang w:val="it-IT" w:eastAsia="ja-JP"/>
        </w:rPr>
      </w:pPr>
      <w:r>
        <w:rPr>
          <w:rFonts w:ascii="Times New Roman" w:hAnsi="Times New Roman" w:cs="Times New Roman"/>
          <w:b w:val="0"/>
          <w:noProof/>
          <w:color w:val="auto"/>
          <w:sz w:val="22"/>
          <w:szCs w:val="22"/>
          <w:lang w:val="it-IT"/>
        </w:rPr>
        <w:t>P</w:t>
      </w:r>
      <w:r w:rsidRPr="00C36533">
        <w:rPr>
          <w:rFonts w:ascii="Times New Roman" w:hAnsi="Times New Roman" w:cs="Times New Roman"/>
          <w:b w:val="0"/>
          <w:noProof/>
          <w:color w:val="auto"/>
          <w:sz w:val="22"/>
          <w:szCs w:val="22"/>
          <w:lang w:val="it-IT"/>
        </w:rPr>
        <w:t>imjeri d</w:t>
      </w:r>
      <w:r>
        <w:rPr>
          <w:rFonts w:ascii="Times New Roman" w:hAnsi="Times New Roman" w:cs="Times New Roman"/>
          <w:b w:val="0"/>
          <w:noProof/>
          <w:color w:val="auto"/>
          <w:sz w:val="22"/>
          <w:szCs w:val="22"/>
          <w:lang w:val="it-IT"/>
        </w:rPr>
        <w:t xml:space="preserve">obre prakse </w:t>
      </w:r>
      <w:r w:rsidR="00246E42" w:rsidRPr="00C36533">
        <w:rPr>
          <w:rFonts w:ascii="Times New Roman" w:hAnsi="Times New Roman" w:cs="Times New Roman"/>
          <w:b w:val="0"/>
          <w:noProof/>
          <w:color w:val="auto"/>
          <w:sz w:val="22"/>
          <w:szCs w:val="22"/>
          <w:lang w:val="it-IT"/>
        </w:rPr>
        <w:tab/>
      </w:r>
      <w:r w:rsidR="00246E42" w:rsidRPr="00246E42">
        <w:rPr>
          <w:rFonts w:ascii="Times New Roman" w:hAnsi="Times New Roman" w:cs="Times New Roman"/>
          <w:b w:val="0"/>
          <w:noProof/>
          <w:color w:val="auto"/>
          <w:sz w:val="22"/>
          <w:szCs w:val="22"/>
        </w:rPr>
        <w:fldChar w:fldCharType="begin"/>
      </w:r>
      <w:r w:rsidR="00246E42" w:rsidRPr="00C36533">
        <w:rPr>
          <w:rFonts w:ascii="Times New Roman" w:hAnsi="Times New Roman" w:cs="Times New Roman"/>
          <w:b w:val="0"/>
          <w:noProof/>
          <w:color w:val="auto"/>
          <w:sz w:val="22"/>
          <w:szCs w:val="22"/>
          <w:lang w:val="it-IT"/>
        </w:rPr>
        <w:instrText xml:space="preserve"> PAGEREF _Toc468701282 \h </w:instrText>
      </w:r>
      <w:r w:rsidR="00246E42" w:rsidRPr="00246E42">
        <w:rPr>
          <w:rFonts w:ascii="Times New Roman" w:hAnsi="Times New Roman" w:cs="Times New Roman"/>
          <w:b w:val="0"/>
          <w:noProof/>
          <w:color w:val="auto"/>
          <w:sz w:val="22"/>
          <w:szCs w:val="22"/>
        </w:rPr>
      </w:r>
      <w:r w:rsidR="00246E42" w:rsidRPr="00246E42">
        <w:rPr>
          <w:rFonts w:ascii="Times New Roman" w:hAnsi="Times New Roman" w:cs="Times New Roman"/>
          <w:b w:val="0"/>
          <w:noProof/>
          <w:color w:val="auto"/>
          <w:sz w:val="22"/>
          <w:szCs w:val="22"/>
        </w:rPr>
        <w:fldChar w:fldCharType="separate"/>
      </w:r>
      <w:r w:rsidR="002373EE" w:rsidRPr="00C36533">
        <w:rPr>
          <w:rFonts w:ascii="Times New Roman" w:hAnsi="Times New Roman" w:cs="Times New Roman"/>
          <w:b w:val="0"/>
          <w:noProof/>
          <w:color w:val="auto"/>
          <w:sz w:val="22"/>
          <w:szCs w:val="22"/>
          <w:lang w:val="it-IT"/>
        </w:rPr>
        <w:t>9</w:t>
      </w:r>
      <w:r w:rsidR="00246E42" w:rsidRPr="00246E42">
        <w:rPr>
          <w:rFonts w:ascii="Times New Roman" w:hAnsi="Times New Roman" w:cs="Times New Roman"/>
          <w:b w:val="0"/>
          <w:noProof/>
          <w:color w:val="auto"/>
          <w:sz w:val="22"/>
          <w:szCs w:val="22"/>
        </w:rPr>
        <w:fldChar w:fldCharType="end"/>
      </w:r>
    </w:p>
    <w:p w14:paraId="6559015F" w14:textId="17E17024" w:rsidR="00246E42" w:rsidRPr="00C36533" w:rsidRDefault="00C36533">
      <w:pPr>
        <w:pStyle w:val="TOC2"/>
        <w:tabs>
          <w:tab w:val="right" w:leader="dot" w:pos="9062"/>
        </w:tabs>
        <w:rPr>
          <w:rFonts w:ascii="Times New Roman" w:eastAsiaTheme="minorEastAsia" w:hAnsi="Times New Roman" w:cs="Times New Roman"/>
          <w:noProof/>
          <w:lang w:val="it-IT" w:eastAsia="ja-JP"/>
        </w:rPr>
      </w:pPr>
      <w:r w:rsidRPr="00C36533">
        <w:rPr>
          <w:rFonts w:ascii="Times New Roman" w:hAnsi="Times New Roman" w:cs="Times New Roman"/>
          <w:noProof/>
          <w:lang w:val="it-IT"/>
        </w:rPr>
        <w:t>Ugovori n</w:t>
      </w:r>
      <w:r>
        <w:rPr>
          <w:rFonts w:ascii="Times New Roman" w:hAnsi="Times New Roman" w:cs="Times New Roman"/>
          <w:noProof/>
          <w:lang w:val="it-IT"/>
        </w:rPr>
        <w:t xml:space="preserve">a ograničeno vrijeme </w:t>
      </w:r>
      <w:r w:rsidR="00246E42" w:rsidRPr="00C36533">
        <w:rPr>
          <w:rFonts w:ascii="Times New Roman" w:hAnsi="Times New Roman" w:cs="Times New Roman"/>
          <w:noProof/>
          <w:lang w:val="it-IT"/>
        </w:rPr>
        <w:tab/>
      </w:r>
      <w:r w:rsidR="00246E42" w:rsidRPr="00246E42">
        <w:rPr>
          <w:rFonts w:ascii="Times New Roman" w:hAnsi="Times New Roman" w:cs="Times New Roman"/>
          <w:noProof/>
        </w:rPr>
        <w:fldChar w:fldCharType="begin"/>
      </w:r>
      <w:r w:rsidR="00246E42" w:rsidRPr="00C36533">
        <w:rPr>
          <w:rFonts w:ascii="Times New Roman" w:hAnsi="Times New Roman" w:cs="Times New Roman"/>
          <w:noProof/>
          <w:lang w:val="it-IT"/>
        </w:rPr>
        <w:instrText xml:space="preserve"> PAGEREF _Toc468701283 \h </w:instrText>
      </w:r>
      <w:r w:rsidR="00246E42" w:rsidRPr="00246E42">
        <w:rPr>
          <w:rFonts w:ascii="Times New Roman" w:hAnsi="Times New Roman" w:cs="Times New Roman"/>
          <w:noProof/>
        </w:rPr>
      </w:r>
      <w:r w:rsidR="00246E42" w:rsidRPr="00246E42">
        <w:rPr>
          <w:rFonts w:ascii="Times New Roman" w:hAnsi="Times New Roman" w:cs="Times New Roman"/>
          <w:noProof/>
        </w:rPr>
        <w:fldChar w:fldCharType="separate"/>
      </w:r>
      <w:r w:rsidR="002373EE" w:rsidRPr="00C36533">
        <w:rPr>
          <w:rFonts w:ascii="Times New Roman" w:hAnsi="Times New Roman" w:cs="Times New Roman"/>
          <w:noProof/>
          <w:lang w:val="it-IT"/>
        </w:rPr>
        <w:t>9</w:t>
      </w:r>
      <w:r w:rsidR="00246E42" w:rsidRPr="00246E42">
        <w:rPr>
          <w:rFonts w:ascii="Times New Roman" w:hAnsi="Times New Roman" w:cs="Times New Roman"/>
          <w:noProof/>
        </w:rPr>
        <w:fldChar w:fldCharType="end"/>
      </w:r>
    </w:p>
    <w:p w14:paraId="22967826" w14:textId="286A5EAA" w:rsidR="00246E42" w:rsidRPr="00C36533" w:rsidRDefault="002C75C0">
      <w:pPr>
        <w:pStyle w:val="TOC2"/>
        <w:tabs>
          <w:tab w:val="right" w:leader="dot" w:pos="9062"/>
        </w:tabs>
        <w:rPr>
          <w:rFonts w:ascii="Times New Roman" w:eastAsiaTheme="minorEastAsia" w:hAnsi="Times New Roman" w:cs="Times New Roman"/>
          <w:noProof/>
          <w:lang w:val="it-IT" w:eastAsia="ja-JP"/>
        </w:rPr>
      </w:pPr>
      <w:r>
        <w:rPr>
          <w:rFonts w:ascii="Times New Roman" w:hAnsi="Times New Roman" w:cs="Times New Roman"/>
          <w:noProof/>
          <w:lang w:val="it-IT"/>
        </w:rPr>
        <w:t>Određivanje najviše dobne granice</w:t>
      </w:r>
      <w:r w:rsidR="00C36533" w:rsidRPr="00C36533">
        <w:rPr>
          <w:rFonts w:ascii="Times New Roman" w:hAnsi="Times New Roman" w:cs="Times New Roman"/>
          <w:noProof/>
          <w:lang w:val="it-IT"/>
        </w:rPr>
        <w:t xml:space="preserve"> </w:t>
      </w:r>
      <w:r w:rsidR="00246E42" w:rsidRPr="00C36533">
        <w:rPr>
          <w:rFonts w:ascii="Times New Roman" w:hAnsi="Times New Roman" w:cs="Times New Roman"/>
          <w:noProof/>
          <w:lang w:val="it-IT"/>
        </w:rPr>
        <w:tab/>
      </w:r>
      <w:r w:rsidR="00246E42" w:rsidRPr="00246E42">
        <w:rPr>
          <w:rFonts w:ascii="Times New Roman" w:hAnsi="Times New Roman" w:cs="Times New Roman"/>
          <w:noProof/>
        </w:rPr>
        <w:fldChar w:fldCharType="begin"/>
      </w:r>
      <w:r w:rsidR="00246E42" w:rsidRPr="00C36533">
        <w:rPr>
          <w:rFonts w:ascii="Times New Roman" w:hAnsi="Times New Roman" w:cs="Times New Roman"/>
          <w:noProof/>
          <w:lang w:val="it-IT"/>
        </w:rPr>
        <w:instrText xml:space="preserve"> PAGEREF _Toc468701284 \h </w:instrText>
      </w:r>
      <w:r w:rsidR="00246E42" w:rsidRPr="00246E42">
        <w:rPr>
          <w:rFonts w:ascii="Times New Roman" w:hAnsi="Times New Roman" w:cs="Times New Roman"/>
          <w:noProof/>
        </w:rPr>
      </w:r>
      <w:r w:rsidR="00246E42" w:rsidRPr="00246E42">
        <w:rPr>
          <w:rFonts w:ascii="Times New Roman" w:hAnsi="Times New Roman" w:cs="Times New Roman"/>
          <w:noProof/>
        </w:rPr>
        <w:fldChar w:fldCharType="separate"/>
      </w:r>
      <w:r w:rsidR="002373EE" w:rsidRPr="00C36533">
        <w:rPr>
          <w:rFonts w:ascii="Times New Roman" w:hAnsi="Times New Roman" w:cs="Times New Roman"/>
          <w:noProof/>
          <w:lang w:val="it-IT"/>
        </w:rPr>
        <w:t>10</w:t>
      </w:r>
      <w:r w:rsidR="00246E42" w:rsidRPr="00246E42">
        <w:rPr>
          <w:rFonts w:ascii="Times New Roman" w:hAnsi="Times New Roman" w:cs="Times New Roman"/>
          <w:noProof/>
        </w:rPr>
        <w:fldChar w:fldCharType="end"/>
      </w:r>
    </w:p>
    <w:p w14:paraId="018C0D18" w14:textId="6B83F333" w:rsidR="00246E42" w:rsidRPr="00B14D70" w:rsidRDefault="006054CD">
      <w:pPr>
        <w:pStyle w:val="TOC2"/>
        <w:tabs>
          <w:tab w:val="right" w:leader="dot" w:pos="9062"/>
        </w:tabs>
        <w:rPr>
          <w:rFonts w:ascii="Times New Roman" w:eastAsiaTheme="minorEastAsia" w:hAnsi="Times New Roman" w:cs="Times New Roman"/>
          <w:noProof/>
          <w:lang w:val="it-IT" w:eastAsia="ja-JP"/>
        </w:rPr>
      </w:pPr>
      <w:r>
        <w:rPr>
          <w:rFonts w:ascii="Times New Roman" w:hAnsi="Times New Roman" w:cs="Times New Roman"/>
          <w:noProof/>
          <w:lang w:val="it-IT"/>
        </w:rPr>
        <w:t>Plaća</w:t>
      </w:r>
      <w:r w:rsidR="00246E42" w:rsidRPr="00B14D70">
        <w:rPr>
          <w:rFonts w:ascii="Times New Roman" w:hAnsi="Times New Roman" w:cs="Times New Roman"/>
          <w:noProof/>
          <w:lang w:val="it-IT"/>
        </w:rPr>
        <w:tab/>
      </w:r>
      <w:r w:rsidR="00246E42" w:rsidRPr="00246E42">
        <w:rPr>
          <w:rFonts w:ascii="Times New Roman" w:hAnsi="Times New Roman" w:cs="Times New Roman"/>
          <w:noProof/>
        </w:rPr>
        <w:fldChar w:fldCharType="begin"/>
      </w:r>
      <w:r w:rsidR="00246E42" w:rsidRPr="00B14D70">
        <w:rPr>
          <w:rFonts w:ascii="Times New Roman" w:hAnsi="Times New Roman" w:cs="Times New Roman"/>
          <w:noProof/>
          <w:lang w:val="it-IT"/>
        </w:rPr>
        <w:instrText xml:space="preserve"> PAGEREF _Toc468701285 \h </w:instrText>
      </w:r>
      <w:r w:rsidR="00246E42" w:rsidRPr="00246E42">
        <w:rPr>
          <w:rFonts w:ascii="Times New Roman" w:hAnsi="Times New Roman" w:cs="Times New Roman"/>
          <w:noProof/>
        </w:rPr>
      </w:r>
      <w:r w:rsidR="00246E42" w:rsidRPr="00246E42">
        <w:rPr>
          <w:rFonts w:ascii="Times New Roman" w:hAnsi="Times New Roman" w:cs="Times New Roman"/>
          <w:noProof/>
        </w:rPr>
        <w:fldChar w:fldCharType="separate"/>
      </w:r>
      <w:r w:rsidR="002373EE" w:rsidRPr="00B14D70">
        <w:rPr>
          <w:rFonts w:ascii="Times New Roman" w:hAnsi="Times New Roman" w:cs="Times New Roman"/>
          <w:noProof/>
          <w:lang w:val="it-IT"/>
        </w:rPr>
        <w:t>11</w:t>
      </w:r>
      <w:r w:rsidR="00246E42" w:rsidRPr="00246E42">
        <w:rPr>
          <w:rFonts w:ascii="Times New Roman" w:hAnsi="Times New Roman" w:cs="Times New Roman"/>
          <w:noProof/>
        </w:rPr>
        <w:fldChar w:fldCharType="end"/>
      </w:r>
    </w:p>
    <w:p w14:paraId="74DF098A" w14:textId="0B92AAE6" w:rsidR="00246E42" w:rsidRPr="00B14D70" w:rsidRDefault="00C36533">
      <w:pPr>
        <w:pStyle w:val="TOC2"/>
        <w:tabs>
          <w:tab w:val="right" w:leader="dot" w:pos="9062"/>
        </w:tabs>
        <w:rPr>
          <w:rFonts w:ascii="Times New Roman" w:eastAsiaTheme="minorEastAsia" w:hAnsi="Times New Roman" w:cs="Times New Roman"/>
          <w:noProof/>
          <w:lang w:val="it-IT" w:eastAsia="ja-JP"/>
        </w:rPr>
      </w:pPr>
      <w:r w:rsidRPr="00B14D70">
        <w:rPr>
          <w:rFonts w:ascii="Times New Roman" w:hAnsi="Times New Roman" w:cs="Times New Roman"/>
          <w:noProof/>
          <w:lang w:val="it-IT"/>
        </w:rPr>
        <w:t xml:space="preserve">Otpremnina </w:t>
      </w:r>
      <w:r w:rsidR="00246E42" w:rsidRPr="00B14D70">
        <w:rPr>
          <w:rFonts w:ascii="Times New Roman" w:hAnsi="Times New Roman" w:cs="Times New Roman"/>
          <w:noProof/>
          <w:lang w:val="it-IT"/>
        </w:rPr>
        <w:tab/>
      </w:r>
      <w:r w:rsidR="00246E42" w:rsidRPr="00246E42">
        <w:rPr>
          <w:rFonts w:ascii="Times New Roman" w:hAnsi="Times New Roman" w:cs="Times New Roman"/>
          <w:noProof/>
        </w:rPr>
        <w:fldChar w:fldCharType="begin"/>
      </w:r>
      <w:r w:rsidR="00246E42" w:rsidRPr="00B14D70">
        <w:rPr>
          <w:rFonts w:ascii="Times New Roman" w:hAnsi="Times New Roman" w:cs="Times New Roman"/>
          <w:noProof/>
          <w:lang w:val="it-IT"/>
        </w:rPr>
        <w:instrText xml:space="preserve"> PAGEREF _Toc468701286 \h </w:instrText>
      </w:r>
      <w:r w:rsidR="00246E42" w:rsidRPr="00246E42">
        <w:rPr>
          <w:rFonts w:ascii="Times New Roman" w:hAnsi="Times New Roman" w:cs="Times New Roman"/>
          <w:noProof/>
        </w:rPr>
      </w:r>
      <w:r w:rsidR="00246E42" w:rsidRPr="00246E42">
        <w:rPr>
          <w:rFonts w:ascii="Times New Roman" w:hAnsi="Times New Roman" w:cs="Times New Roman"/>
          <w:noProof/>
        </w:rPr>
        <w:fldChar w:fldCharType="separate"/>
      </w:r>
      <w:r w:rsidR="002373EE" w:rsidRPr="00B14D70">
        <w:rPr>
          <w:rFonts w:ascii="Times New Roman" w:hAnsi="Times New Roman" w:cs="Times New Roman"/>
          <w:noProof/>
          <w:lang w:val="it-IT"/>
        </w:rPr>
        <w:t>11</w:t>
      </w:r>
      <w:r w:rsidR="00246E42" w:rsidRPr="00246E42">
        <w:rPr>
          <w:rFonts w:ascii="Times New Roman" w:hAnsi="Times New Roman" w:cs="Times New Roman"/>
          <w:noProof/>
        </w:rPr>
        <w:fldChar w:fldCharType="end"/>
      </w:r>
    </w:p>
    <w:p w14:paraId="2B7DD956" w14:textId="14880714" w:rsidR="00246E42" w:rsidRPr="00B14D70" w:rsidRDefault="00C36533">
      <w:pPr>
        <w:pStyle w:val="TOC1"/>
        <w:tabs>
          <w:tab w:val="right" w:leader="dot" w:pos="9062"/>
        </w:tabs>
        <w:rPr>
          <w:rFonts w:ascii="Times New Roman" w:eastAsiaTheme="minorEastAsia" w:hAnsi="Times New Roman" w:cs="Times New Roman"/>
          <w:b w:val="0"/>
          <w:noProof/>
          <w:color w:val="auto"/>
          <w:sz w:val="22"/>
          <w:szCs w:val="22"/>
          <w:lang w:val="it-IT" w:eastAsia="ja-JP"/>
        </w:rPr>
      </w:pPr>
      <w:r w:rsidRPr="00B14D70">
        <w:rPr>
          <w:rFonts w:ascii="Times New Roman" w:hAnsi="Times New Roman" w:cs="Times New Roman"/>
          <w:b w:val="0"/>
          <w:noProof/>
          <w:color w:val="auto"/>
          <w:sz w:val="22"/>
          <w:szCs w:val="22"/>
          <w:lang w:val="it-IT"/>
        </w:rPr>
        <w:t xml:space="preserve">Zaključak </w:t>
      </w:r>
      <w:r w:rsidR="00246E42" w:rsidRPr="00B14D70">
        <w:rPr>
          <w:rFonts w:ascii="Times New Roman" w:hAnsi="Times New Roman" w:cs="Times New Roman"/>
          <w:b w:val="0"/>
          <w:noProof/>
          <w:color w:val="auto"/>
          <w:sz w:val="22"/>
          <w:szCs w:val="22"/>
          <w:lang w:val="it-IT"/>
        </w:rPr>
        <w:tab/>
      </w:r>
      <w:r w:rsidR="00246E42" w:rsidRPr="00246E42">
        <w:rPr>
          <w:rFonts w:ascii="Times New Roman" w:hAnsi="Times New Roman" w:cs="Times New Roman"/>
          <w:b w:val="0"/>
          <w:noProof/>
          <w:color w:val="auto"/>
          <w:sz w:val="22"/>
          <w:szCs w:val="22"/>
        </w:rPr>
        <w:fldChar w:fldCharType="begin"/>
      </w:r>
      <w:r w:rsidR="00246E42" w:rsidRPr="00B14D70">
        <w:rPr>
          <w:rFonts w:ascii="Times New Roman" w:hAnsi="Times New Roman" w:cs="Times New Roman"/>
          <w:b w:val="0"/>
          <w:noProof/>
          <w:color w:val="auto"/>
          <w:sz w:val="22"/>
          <w:szCs w:val="22"/>
          <w:lang w:val="it-IT"/>
        </w:rPr>
        <w:instrText xml:space="preserve"> PAGEREF _Toc468701287 \h </w:instrText>
      </w:r>
      <w:r w:rsidR="00246E42" w:rsidRPr="00246E42">
        <w:rPr>
          <w:rFonts w:ascii="Times New Roman" w:hAnsi="Times New Roman" w:cs="Times New Roman"/>
          <w:b w:val="0"/>
          <w:noProof/>
          <w:color w:val="auto"/>
          <w:sz w:val="22"/>
          <w:szCs w:val="22"/>
        </w:rPr>
      </w:r>
      <w:r w:rsidR="00246E42" w:rsidRPr="00246E42">
        <w:rPr>
          <w:rFonts w:ascii="Times New Roman" w:hAnsi="Times New Roman" w:cs="Times New Roman"/>
          <w:b w:val="0"/>
          <w:noProof/>
          <w:color w:val="auto"/>
          <w:sz w:val="22"/>
          <w:szCs w:val="22"/>
        </w:rPr>
        <w:fldChar w:fldCharType="separate"/>
      </w:r>
      <w:r w:rsidR="002373EE" w:rsidRPr="00B14D70">
        <w:rPr>
          <w:rFonts w:ascii="Times New Roman" w:hAnsi="Times New Roman" w:cs="Times New Roman"/>
          <w:b w:val="0"/>
          <w:noProof/>
          <w:color w:val="auto"/>
          <w:sz w:val="22"/>
          <w:szCs w:val="22"/>
          <w:lang w:val="it-IT"/>
        </w:rPr>
        <w:t>12</w:t>
      </w:r>
      <w:r w:rsidR="00246E42" w:rsidRPr="00246E42">
        <w:rPr>
          <w:rFonts w:ascii="Times New Roman" w:hAnsi="Times New Roman" w:cs="Times New Roman"/>
          <w:b w:val="0"/>
          <w:noProof/>
          <w:color w:val="auto"/>
          <w:sz w:val="22"/>
          <w:szCs w:val="22"/>
        </w:rPr>
        <w:fldChar w:fldCharType="end"/>
      </w:r>
    </w:p>
    <w:p w14:paraId="1D0DA72E" w14:textId="5F9D52E7" w:rsidR="002E0BF1" w:rsidRPr="00B14D70" w:rsidRDefault="00246E42" w:rsidP="00AB021B">
      <w:pPr>
        <w:pStyle w:val="Heading1"/>
        <w:rPr>
          <w:rFonts w:ascii="Times New Roman" w:hAnsi="Times New Roman" w:cs="Times New Roman"/>
          <w:color w:val="auto"/>
          <w:lang w:val="it-IT"/>
        </w:rPr>
      </w:pPr>
      <w:r w:rsidRPr="00246E42">
        <w:rPr>
          <w:rStyle w:val="Emphasis"/>
          <w:rFonts w:ascii="Times New Roman" w:eastAsiaTheme="minorHAnsi" w:hAnsi="Times New Roman" w:cs="Times New Roman"/>
          <w:i w:val="0"/>
          <w:color w:val="auto"/>
          <w:sz w:val="22"/>
          <w:szCs w:val="22"/>
        </w:rPr>
        <w:fldChar w:fldCharType="end"/>
      </w:r>
    </w:p>
    <w:p w14:paraId="5C7646B2" w14:textId="77777777" w:rsidR="002E0BF1" w:rsidRPr="00B14D70" w:rsidRDefault="002E0BF1" w:rsidP="002E0BF1">
      <w:pPr>
        <w:rPr>
          <w:rFonts w:cs="Times New Roman"/>
          <w:lang w:val="it-IT"/>
        </w:rPr>
      </w:pPr>
    </w:p>
    <w:p w14:paraId="40830EE1" w14:textId="77777777" w:rsidR="002E0BF1" w:rsidRPr="00B14D70" w:rsidRDefault="002E0BF1" w:rsidP="002E0BF1">
      <w:pPr>
        <w:rPr>
          <w:rFonts w:cs="Times New Roman"/>
          <w:lang w:val="it-IT"/>
        </w:rPr>
      </w:pPr>
    </w:p>
    <w:p w14:paraId="7EDE9D02" w14:textId="77777777" w:rsidR="002E0BF1" w:rsidRPr="00B14D70" w:rsidRDefault="002E0BF1" w:rsidP="002E0BF1">
      <w:pPr>
        <w:rPr>
          <w:rFonts w:cs="Times New Roman"/>
          <w:lang w:val="it-IT"/>
        </w:rPr>
      </w:pPr>
    </w:p>
    <w:p w14:paraId="3D3A5CAC" w14:textId="77777777" w:rsidR="002E0BF1" w:rsidRPr="00B14D70" w:rsidRDefault="002E0BF1" w:rsidP="002E0BF1">
      <w:pPr>
        <w:rPr>
          <w:rFonts w:cs="Times New Roman"/>
          <w:lang w:val="it-IT"/>
        </w:rPr>
      </w:pPr>
    </w:p>
    <w:p w14:paraId="03021193" w14:textId="77777777" w:rsidR="002E0BF1" w:rsidRPr="00B14D70" w:rsidRDefault="002E0BF1" w:rsidP="002E0BF1">
      <w:pPr>
        <w:rPr>
          <w:rFonts w:cs="Times New Roman"/>
          <w:lang w:val="it-IT"/>
        </w:rPr>
      </w:pPr>
    </w:p>
    <w:p w14:paraId="0168D4C7" w14:textId="77777777" w:rsidR="002E0BF1" w:rsidRPr="00B14D70" w:rsidRDefault="002E0BF1" w:rsidP="002E0BF1">
      <w:pPr>
        <w:rPr>
          <w:rFonts w:cs="Times New Roman"/>
          <w:lang w:val="it-IT"/>
        </w:rPr>
      </w:pPr>
    </w:p>
    <w:p w14:paraId="2DB77564" w14:textId="77777777" w:rsidR="002E0BF1" w:rsidRPr="00B14D70" w:rsidRDefault="002E0BF1" w:rsidP="002E0BF1">
      <w:pPr>
        <w:rPr>
          <w:rFonts w:cs="Times New Roman"/>
          <w:lang w:val="it-IT"/>
        </w:rPr>
      </w:pPr>
    </w:p>
    <w:p w14:paraId="721F5669" w14:textId="77777777" w:rsidR="002E0BF1" w:rsidRPr="00B14D70" w:rsidRDefault="002E0BF1" w:rsidP="002E0BF1">
      <w:pPr>
        <w:rPr>
          <w:rFonts w:cs="Times New Roman"/>
          <w:lang w:val="it-IT"/>
        </w:rPr>
      </w:pPr>
    </w:p>
    <w:p w14:paraId="3742E614" w14:textId="77777777" w:rsidR="002E0BF1" w:rsidRPr="00B14D70" w:rsidRDefault="002E0BF1" w:rsidP="002E0BF1">
      <w:pPr>
        <w:rPr>
          <w:rFonts w:cs="Times New Roman"/>
          <w:lang w:val="it-IT"/>
        </w:rPr>
      </w:pPr>
    </w:p>
    <w:p w14:paraId="1C816D1A" w14:textId="77777777" w:rsidR="002E0BF1" w:rsidRPr="00B14D70" w:rsidRDefault="002E0BF1" w:rsidP="002E0BF1">
      <w:pPr>
        <w:rPr>
          <w:rFonts w:cs="Times New Roman"/>
          <w:lang w:val="it-IT"/>
        </w:rPr>
      </w:pPr>
    </w:p>
    <w:p w14:paraId="2C433E23" w14:textId="77777777" w:rsidR="002E0BF1" w:rsidRPr="00B14D70" w:rsidRDefault="002E0BF1" w:rsidP="002E0BF1">
      <w:pPr>
        <w:rPr>
          <w:rFonts w:cs="Times New Roman"/>
          <w:lang w:val="it-IT"/>
        </w:rPr>
      </w:pPr>
    </w:p>
    <w:p w14:paraId="2AB38754" w14:textId="77777777" w:rsidR="002E0BF1" w:rsidRPr="00B14D70" w:rsidRDefault="002E0BF1" w:rsidP="002E0BF1">
      <w:pPr>
        <w:rPr>
          <w:rFonts w:cs="Times New Roman"/>
          <w:lang w:val="it-IT"/>
        </w:rPr>
      </w:pPr>
    </w:p>
    <w:p w14:paraId="445B6759" w14:textId="77777777" w:rsidR="002E0BF1" w:rsidRPr="00B14D70" w:rsidRDefault="002E0BF1" w:rsidP="002E0BF1">
      <w:pPr>
        <w:rPr>
          <w:rFonts w:cs="Times New Roman"/>
          <w:lang w:val="it-IT"/>
        </w:rPr>
      </w:pPr>
    </w:p>
    <w:p w14:paraId="0198A644" w14:textId="77777777" w:rsidR="002E0BF1" w:rsidRPr="00B14D70" w:rsidRDefault="002E0BF1" w:rsidP="002E0BF1">
      <w:pPr>
        <w:rPr>
          <w:rFonts w:cs="Times New Roman"/>
          <w:lang w:val="it-IT"/>
        </w:rPr>
      </w:pPr>
    </w:p>
    <w:p w14:paraId="5CB01ECE" w14:textId="15BD7E93" w:rsidR="00FA7362" w:rsidRPr="00C36533" w:rsidRDefault="00C80589" w:rsidP="002E0BF1">
      <w:pPr>
        <w:pStyle w:val="Heading1"/>
        <w:rPr>
          <w:rFonts w:ascii="Times New Roman" w:hAnsi="Times New Roman" w:cs="Times New Roman"/>
          <w:color w:val="auto"/>
          <w:lang w:val="it-IT"/>
        </w:rPr>
      </w:pPr>
      <w:bookmarkStart w:id="1" w:name="_Toc468701278"/>
      <w:r>
        <w:rPr>
          <w:rFonts w:ascii="Times New Roman" w:hAnsi="Times New Roman" w:cs="Times New Roman"/>
          <w:color w:val="auto"/>
          <w:lang w:val="it-IT"/>
        </w:rPr>
        <w:lastRenderedPageBreak/>
        <w:t>Z</w:t>
      </w:r>
      <w:r w:rsidR="00C36533" w:rsidRPr="00C36533">
        <w:rPr>
          <w:rFonts w:ascii="Times New Roman" w:hAnsi="Times New Roman" w:cs="Times New Roman"/>
          <w:color w:val="auto"/>
          <w:lang w:val="it-IT"/>
        </w:rPr>
        <w:t xml:space="preserve">abrana diskriminacije na osnovi dobi </w:t>
      </w:r>
      <w:bookmarkEnd w:id="1"/>
    </w:p>
    <w:p w14:paraId="795890DC" w14:textId="0C9ECD35" w:rsidR="00C36533" w:rsidRPr="00C36533" w:rsidRDefault="00C36533" w:rsidP="00C36533">
      <w:pPr>
        <w:rPr>
          <w:rFonts w:cs="Times New Roman"/>
          <w:lang w:val="hr-HR"/>
        </w:rPr>
      </w:pPr>
      <w:r w:rsidRPr="00C36533">
        <w:rPr>
          <w:rFonts w:cs="Times New Roman"/>
          <w:lang w:val="hr-HR"/>
        </w:rPr>
        <w:t xml:space="preserve">Članak 3. UEU-a definira da je glavni cilj EU uspostavljanje socijalne tržišne ekonomije i promicanje solidarnosti među generacijama. Povelja EU o temeljnim pravima obuhvaća prava i načela od najveće važnosti za zakonodavstvo EU-a o nediskriminaciji u vezi s različitim dobnim skupinama, poput jednakosti pred zakonom (čl. 20), nediskriminacije (čl. 21), jednakosti muškaraca i žena (Čl. 23) i prava starijih osoba na dostojanstven i neovisan život i sudjelovanje u društvenom i kulturnom životu. (Čl. 25). Štoviše, članak 21. stavak 1. predviđa da je zabranjena diskriminacija na temelju dobi. Pitanje dobi također je prisutno u mnogim socijalnim politikama EU-a, uključujući Strategiju EU 2020, Europsku strategiju zapošljavanja i Paket socijalnih ulaganja. </w:t>
      </w:r>
      <w:r w:rsidR="00C80589">
        <w:rPr>
          <w:rFonts w:cs="Times New Roman"/>
          <w:lang w:val="hr-HR"/>
        </w:rPr>
        <w:t>U</w:t>
      </w:r>
      <w:r w:rsidRPr="00C36533">
        <w:rPr>
          <w:rFonts w:cs="Times New Roman"/>
          <w:lang w:val="hr-HR"/>
        </w:rPr>
        <w:t>FEU omogućuje EU da usvoji politike i razne mjere za potporu mladima.</w:t>
      </w:r>
    </w:p>
    <w:p w14:paraId="6487FB4D" w14:textId="586AC550" w:rsidR="00C36533" w:rsidRDefault="00C80589" w:rsidP="00C36533">
      <w:pPr>
        <w:rPr>
          <w:rFonts w:cs="Times New Roman"/>
          <w:lang w:val="hr-HR"/>
        </w:rPr>
      </w:pPr>
      <w:r w:rsidRPr="00C80589">
        <w:rPr>
          <w:rFonts w:cs="Times New Roman"/>
          <w:lang w:val="hr-HR"/>
        </w:rPr>
        <w:t xml:space="preserve">Iako je potpora mlađim naraštajima davana već 1970-ih, pitanje starijih osoba prepoznato je dvadeset godina kasnije. Međutim, devedesetih je priznato da je starenje </w:t>
      </w:r>
      <w:r>
        <w:rPr>
          <w:rFonts w:cs="Times New Roman"/>
          <w:lang w:val="hr-HR"/>
        </w:rPr>
        <w:t>kompleksno društveno pitanje</w:t>
      </w:r>
      <w:r w:rsidRPr="00C80589">
        <w:rPr>
          <w:rFonts w:cs="Times New Roman"/>
          <w:lang w:val="hr-HR"/>
        </w:rPr>
        <w:t xml:space="preserve">, </w:t>
      </w:r>
      <w:r>
        <w:rPr>
          <w:rFonts w:cs="Times New Roman"/>
          <w:lang w:val="hr-HR"/>
        </w:rPr>
        <w:t xml:space="preserve">koje </w:t>
      </w:r>
      <w:r w:rsidRPr="00C80589">
        <w:rPr>
          <w:rFonts w:cs="Times New Roman"/>
          <w:lang w:val="hr-HR"/>
        </w:rPr>
        <w:t>uključuj</w:t>
      </w:r>
      <w:r>
        <w:rPr>
          <w:rFonts w:cs="Times New Roman"/>
          <w:lang w:val="hr-HR"/>
        </w:rPr>
        <w:t>e</w:t>
      </w:r>
      <w:r w:rsidRPr="00C80589">
        <w:rPr>
          <w:rFonts w:cs="Times New Roman"/>
          <w:lang w:val="hr-HR"/>
        </w:rPr>
        <w:t xml:space="preserve"> povećanje dugovječnosti ljudi i pad stope </w:t>
      </w:r>
      <w:r>
        <w:rPr>
          <w:rFonts w:cs="Times New Roman"/>
          <w:lang w:val="hr-HR"/>
        </w:rPr>
        <w:t>nataliteta</w:t>
      </w:r>
      <w:r w:rsidRPr="00C80589">
        <w:rPr>
          <w:rFonts w:cs="Times New Roman"/>
          <w:lang w:val="hr-HR"/>
        </w:rPr>
        <w:t>. Jednostavno</w:t>
      </w:r>
      <w:r>
        <w:rPr>
          <w:rFonts w:cs="Times New Roman"/>
          <w:lang w:val="hr-HR"/>
        </w:rPr>
        <w:t xml:space="preserve"> povećanje</w:t>
      </w:r>
      <w:r w:rsidRPr="00C80589">
        <w:rPr>
          <w:rFonts w:cs="Times New Roman"/>
          <w:lang w:val="hr-HR"/>
        </w:rPr>
        <w:t xml:space="preserve"> obvezne dobi za umirovljenje nije dovoljn</w:t>
      </w:r>
      <w:r>
        <w:rPr>
          <w:rFonts w:cs="Times New Roman"/>
          <w:lang w:val="hr-HR"/>
        </w:rPr>
        <w:t>o</w:t>
      </w:r>
      <w:r w:rsidRPr="00C80589">
        <w:rPr>
          <w:rFonts w:cs="Times New Roman"/>
          <w:lang w:val="hr-HR"/>
        </w:rPr>
        <w:t xml:space="preserve"> za rješavanje problema, jer je situacija na radnom mjestu starijih radnika </w:t>
      </w:r>
      <w:r>
        <w:rPr>
          <w:rFonts w:cs="Times New Roman"/>
          <w:lang w:val="hr-HR"/>
        </w:rPr>
        <w:t xml:space="preserve">sve </w:t>
      </w:r>
      <w:r w:rsidRPr="00C80589">
        <w:rPr>
          <w:rFonts w:cs="Times New Roman"/>
          <w:lang w:val="hr-HR"/>
        </w:rPr>
        <w:t>nesigurnija. Stoga je bilo potrebno poduzeti daljnje pozitivne akcije kako bi zaštitili starije zaposlenike. Zabrana diskriminacije na temelju dobi prvi je put riješena Direktivom 2000/78/EC (FED)</w:t>
      </w:r>
      <w:r w:rsidRPr="00C80589">
        <w:rPr>
          <w:rFonts w:cs="Times New Roman"/>
          <w:vertAlign w:val="superscript"/>
        </w:rPr>
        <w:footnoteReference w:id="1"/>
      </w:r>
      <w:r w:rsidRPr="00C80589">
        <w:rPr>
          <w:rFonts w:cs="Times New Roman"/>
          <w:lang w:val="hr-HR"/>
        </w:rPr>
        <w:t xml:space="preserve">. Direktiva je imala za cilj zaštititi dostojanstvo ljudi štiteći ih od </w:t>
      </w:r>
      <w:r>
        <w:rPr>
          <w:rFonts w:cs="Times New Roman"/>
          <w:lang w:val="hr-HR"/>
        </w:rPr>
        <w:t>predrasuda prema starijima</w:t>
      </w:r>
      <w:r w:rsidRPr="00C80589">
        <w:rPr>
          <w:rFonts w:cs="Times New Roman"/>
          <w:lang w:val="hr-HR"/>
        </w:rPr>
        <w:t xml:space="preserve"> i drugih oblika stereotipizacije.</w:t>
      </w:r>
    </w:p>
    <w:p w14:paraId="72BFBB4A" w14:textId="4B0382FA" w:rsidR="00210FBD" w:rsidRPr="00F730D0" w:rsidRDefault="00C80589" w:rsidP="00210FBD">
      <w:pPr>
        <w:rPr>
          <w:rFonts w:cs="Times New Roman"/>
          <w:lang w:val="hr-HR"/>
        </w:rPr>
      </w:pPr>
      <w:r w:rsidRPr="00C80589">
        <w:rPr>
          <w:rFonts w:cs="Times New Roman"/>
          <w:lang w:val="hr-HR"/>
        </w:rPr>
        <w:t xml:space="preserve">Međutim, u zapošljavanju i socijalnim politikama raširen je različit tretman na temelju dobi, uključujući upotrebu minimalnih dobnih uvjeta za određena zanimanja, maksimalnih dobnih granica za određene naknade povezane s zapošljavanjem i postupno povećanje plaća kroz nekoliko dobnih skupina. Ekonomsko obrazloženje ovih politika može </w:t>
      </w:r>
      <w:r w:rsidR="00F730D0">
        <w:rPr>
          <w:rFonts w:cs="Times New Roman"/>
          <w:lang w:val="hr-HR"/>
        </w:rPr>
        <w:t>biti u suprotnosti s</w:t>
      </w:r>
      <w:r w:rsidRPr="00C80589">
        <w:rPr>
          <w:rFonts w:cs="Times New Roman"/>
          <w:lang w:val="hr-HR"/>
        </w:rPr>
        <w:t xml:space="preserve"> blagi</w:t>
      </w:r>
      <w:r w:rsidR="00F730D0">
        <w:rPr>
          <w:rFonts w:cs="Times New Roman"/>
          <w:lang w:val="hr-HR"/>
        </w:rPr>
        <w:t>m</w:t>
      </w:r>
      <w:r w:rsidRPr="00C80589">
        <w:rPr>
          <w:rFonts w:cs="Times New Roman"/>
          <w:lang w:val="hr-HR"/>
        </w:rPr>
        <w:t xml:space="preserve"> pristup</w:t>
      </w:r>
      <w:r w:rsidR="00F730D0">
        <w:rPr>
          <w:rFonts w:cs="Times New Roman"/>
          <w:lang w:val="hr-HR"/>
        </w:rPr>
        <w:t>om</w:t>
      </w:r>
      <w:r w:rsidRPr="00C80589">
        <w:rPr>
          <w:rFonts w:cs="Times New Roman"/>
          <w:lang w:val="hr-HR"/>
        </w:rPr>
        <w:t xml:space="preserve"> prema dobnoj diskriminaciji. Sudska praksa Suda Europske unije (CJEU) pokazuje da je Sud prihvatio širi spektar opravdanj</w:t>
      </w:r>
      <w:r w:rsidR="00F730D0">
        <w:rPr>
          <w:rFonts w:cs="Times New Roman"/>
          <w:lang w:val="hr-HR"/>
        </w:rPr>
        <w:t>a</w:t>
      </w:r>
      <w:r w:rsidR="00F730D0" w:rsidRPr="00F730D0">
        <w:rPr>
          <w:rFonts w:cs="Times New Roman"/>
          <w:vertAlign w:val="superscript"/>
        </w:rPr>
        <w:footnoteReference w:id="2"/>
      </w:r>
      <w:r w:rsidRPr="00C80589">
        <w:rPr>
          <w:rFonts w:cs="Times New Roman"/>
          <w:lang w:val="hr-HR"/>
        </w:rPr>
        <w:t xml:space="preserve"> vezanih za zapošljavanje u usporedbi s drugim osnovama poput rase i spola. S druge strane, zbog složenosti starenja, razlike će često dovesti i do nedostataka povezanih s drugim osnovama diskriminacije, a ne-dobne osnove (najčešće spol) se </w:t>
      </w:r>
      <w:r w:rsidR="00F730D0">
        <w:rPr>
          <w:rFonts w:cs="Times New Roman"/>
          <w:lang w:val="hr-HR"/>
        </w:rPr>
        <w:t>često podudaraju</w:t>
      </w:r>
      <w:r w:rsidRPr="00C80589">
        <w:rPr>
          <w:rFonts w:cs="Times New Roman"/>
          <w:lang w:val="hr-HR"/>
        </w:rPr>
        <w:t xml:space="preserve"> s dobnom diskriminacijom u zapošljavanju</w:t>
      </w:r>
      <w:bookmarkStart w:id="2" w:name="_Ref55134436"/>
      <w:r w:rsidR="00F730D0">
        <w:rPr>
          <w:rFonts w:cs="Times New Roman"/>
          <w:lang w:val="hr-HR"/>
        </w:rPr>
        <w:t>.</w:t>
      </w:r>
      <w:r w:rsidR="00046860" w:rsidRPr="00DE027A">
        <w:rPr>
          <w:rStyle w:val="FootnoteReference"/>
          <w:rFonts w:cs="Times New Roman"/>
        </w:rPr>
        <w:footnoteReference w:id="3"/>
      </w:r>
      <w:bookmarkEnd w:id="2"/>
    </w:p>
    <w:p w14:paraId="6F8C811D" w14:textId="7C025FC7" w:rsidR="00F730D0" w:rsidRPr="00F730D0" w:rsidRDefault="00F730D0" w:rsidP="00210FBD">
      <w:pPr>
        <w:rPr>
          <w:rFonts w:cs="Times New Roman"/>
          <w:lang w:val="hr-HR"/>
        </w:rPr>
      </w:pPr>
      <w:r w:rsidRPr="00F730D0">
        <w:rPr>
          <w:rFonts w:cs="Times New Roman"/>
          <w:lang w:val="hr-HR"/>
        </w:rPr>
        <w:t xml:space="preserve">Što se tiče dobne diskriminacije, FED dopušta državama članicama da različit tretman na temelju dobi klasificiraju kao nediskriminirajući ako je to "objektivno i opravdano opravdano legitimnim ciljem, uključujući legitimnu politiku zapošljavanja (i) ciljeve tržišta rada ..." ( Članak 6. (1)), navodeći niz tipičnih opravdanja na nepotpunom popisu (Članak 6 (2)). Dakle, diskriminacija na temelju dobi može </w:t>
      </w:r>
      <w:r w:rsidRPr="00F730D0">
        <w:rPr>
          <w:rFonts w:cs="Times New Roman"/>
          <w:lang w:val="hr-HR"/>
        </w:rPr>
        <w:lastRenderedPageBreak/>
        <w:t>se opravdati prema slobodnijim standardima, uz one slučajeve u kojima se strogo objektivno opravdanje razlikuje. Tijekom provedbe okvirnog sporazuma o aktivnom starenju, socijalni partneri moraju imati na umu da je zabrana dobne diskriminacije u zakonu EU konceptualno slabija od ostalih osnova diskriminacije i obratiti posebnu pozornost na stvaranje mjera koje pružaju učinkovitu zaštitu starijih zaposlenika.</w:t>
      </w:r>
    </w:p>
    <w:p w14:paraId="2D5B13C7" w14:textId="77777777" w:rsidR="00504497" w:rsidRPr="00B14D70" w:rsidRDefault="00504497" w:rsidP="00504497">
      <w:pPr>
        <w:rPr>
          <w:rFonts w:cs="Times New Roman"/>
          <w:lang w:val="hr-HR"/>
        </w:rPr>
      </w:pPr>
    </w:p>
    <w:p w14:paraId="53058F28" w14:textId="1FAEEC5F" w:rsidR="00336083" w:rsidRPr="00B14D70" w:rsidRDefault="00A47139" w:rsidP="002E0BF1">
      <w:pPr>
        <w:pStyle w:val="Heading1"/>
        <w:rPr>
          <w:rFonts w:ascii="Times New Roman" w:hAnsi="Times New Roman" w:cs="Times New Roman"/>
          <w:color w:val="auto"/>
          <w:lang w:val="hr-HR"/>
        </w:rPr>
      </w:pPr>
      <w:bookmarkStart w:id="3" w:name="_Toc468701279"/>
      <w:r w:rsidRPr="00B14D70">
        <w:rPr>
          <w:rFonts w:ascii="Times New Roman" w:hAnsi="Times New Roman" w:cs="Times New Roman"/>
          <w:color w:val="auto"/>
          <w:lang w:val="hr-HR"/>
        </w:rPr>
        <w:t xml:space="preserve">Uloga Kolektivnih ugovora </w:t>
      </w:r>
      <w:bookmarkEnd w:id="3"/>
    </w:p>
    <w:p w14:paraId="0BFCC31A" w14:textId="726B9AE7" w:rsidR="00A47139" w:rsidRDefault="00A47139" w:rsidP="00A47139">
      <w:pPr>
        <w:rPr>
          <w:rFonts w:cs="Times New Roman"/>
          <w:lang w:val="hr-HR"/>
        </w:rPr>
      </w:pPr>
      <w:r w:rsidRPr="00A47139">
        <w:rPr>
          <w:rFonts w:cs="Times New Roman"/>
          <w:lang w:val="hr-HR"/>
        </w:rPr>
        <w:t>CJEU je potvrdio da socijalni partneri na nacionalnoj razini uživaju široku diskreciju u svom izboru, ne samo za postizanjem određenog cilja na polju socijalne politike i politike zapošljavanja, već i u definiranju mjera koje ga mogu ostvariti.</w:t>
      </w:r>
      <w:r w:rsidRPr="00A47139">
        <w:rPr>
          <w:rStyle w:val="FootnoteReference"/>
          <w:rFonts w:cs="Times New Roman"/>
          <w:lang w:val="hr-HR"/>
        </w:rPr>
        <w:footnoteReference w:id="4"/>
      </w:r>
      <w:r w:rsidRPr="00A47139">
        <w:rPr>
          <w:rFonts w:cs="Times New Roman"/>
          <w:lang w:val="hr-HR"/>
        </w:rPr>
        <w:t>. Štoviše, socijalni se partneri kroz kolektivni ugovor mogu odlučiti za primjenu nacionalnog mehanizma zapošljavanja ili socijalne politike tako da se na odgovarajući način može uzeti u obzir ne samo cjelokupna situacija na dotičnom tržištu rada, već i specifične osobine određenog radnog mjesta. To pruža značajnu fleksibilnost socijalnim partnerima da se, između ostalih, odluče za klauzule o obveznom umirovljenju ili automatskom otkazu, uzimajući u obzir njihovu sposobnost da adekvatno čuvaju vaganje interesa. Općenito, Sud je prilično popustljiv u prihvaćanju legitim</w:t>
      </w:r>
      <w:r>
        <w:rPr>
          <w:rFonts w:cs="Times New Roman"/>
          <w:lang w:val="hr-HR"/>
        </w:rPr>
        <w:t>iz</w:t>
      </w:r>
      <w:r w:rsidRPr="00A47139">
        <w:rPr>
          <w:rFonts w:cs="Times New Roman"/>
          <w:lang w:val="hr-HR"/>
        </w:rPr>
        <w:t>acije koju su socijalni partneri utvrdili u kolektivnim ugovorima.</w:t>
      </w:r>
    </w:p>
    <w:p w14:paraId="25227705" w14:textId="1055A441" w:rsidR="00A47139" w:rsidRPr="00A47139" w:rsidRDefault="00A47139" w:rsidP="00A47139">
      <w:pPr>
        <w:rPr>
          <w:rFonts w:cs="Times New Roman"/>
          <w:lang w:val="hr-HR"/>
        </w:rPr>
      </w:pPr>
      <w:r w:rsidRPr="00A47139">
        <w:rPr>
          <w:rFonts w:cs="Times New Roman"/>
          <w:lang w:val="hr-HR"/>
        </w:rPr>
        <w:t>S druge strane, što se tiče slučajeva dobne diskriminacije, za razliku od slučajeva spolne diskriminacije, pozivanje na temeljno pravo na kolektivne ugovore koristi se kako bi se opravdalo ograničenje prava radnika</w:t>
      </w:r>
      <w:r w:rsidR="000658EE" w:rsidRPr="000658EE">
        <w:rPr>
          <w:rFonts w:cs="Times New Roman"/>
          <w:lang w:val="hr-HR"/>
        </w:rPr>
        <w:t>.</w:t>
      </w:r>
      <w:r w:rsidR="000658EE" w:rsidRPr="00DE027A">
        <w:rPr>
          <w:rStyle w:val="FootnoteReference"/>
          <w:rFonts w:cs="Times New Roman"/>
        </w:rPr>
        <w:footnoteReference w:id="5"/>
      </w:r>
      <w:r w:rsidRPr="00A47139">
        <w:rPr>
          <w:rFonts w:cs="Times New Roman"/>
          <w:lang w:val="hr-HR"/>
        </w:rPr>
        <w:t xml:space="preserve">. Ova argumentacija utvrđuje razliku od ranije sudske prakse koja je zahtijevala da se kolektivni ugovori u potpunosti pridržavaju načela zabrane diskriminacije; u slučaju da su politike diskriminacije prema dobi uvedene kolektivnim ugovorom, to se može smatrati legitimnim čimbenikom. Primjerice, Sud nije tražio da poslodavci budu fleksibilni u pogledu želja zaposlenika da rade nakon dobi za umirovljenje. Suprotno tome, Sud je socijalnim partnerima dao široku diskreciju u postupnom </w:t>
      </w:r>
      <w:r>
        <w:rPr>
          <w:rFonts w:cs="Times New Roman"/>
          <w:lang w:val="hr-HR"/>
        </w:rPr>
        <w:t xml:space="preserve">izvođenju </w:t>
      </w:r>
      <w:r w:rsidRPr="00A47139">
        <w:rPr>
          <w:rFonts w:cs="Times New Roman"/>
          <w:lang w:val="hr-HR"/>
        </w:rPr>
        <w:t>muškaraca i žena u „treć</w:t>
      </w:r>
      <w:r>
        <w:rPr>
          <w:rFonts w:cs="Times New Roman"/>
          <w:lang w:val="hr-HR"/>
        </w:rPr>
        <w:t>oj</w:t>
      </w:r>
      <w:r w:rsidRPr="00A47139">
        <w:rPr>
          <w:rFonts w:cs="Times New Roman"/>
          <w:lang w:val="hr-HR"/>
        </w:rPr>
        <w:t xml:space="preserve"> životn</w:t>
      </w:r>
      <w:r>
        <w:rPr>
          <w:rFonts w:cs="Times New Roman"/>
          <w:lang w:val="hr-HR"/>
        </w:rPr>
        <w:t>oj</w:t>
      </w:r>
      <w:r w:rsidRPr="00A47139">
        <w:rPr>
          <w:rFonts w:cs="Times New Roman"/>
          <w:lang w:val="hr-HR"/>
        </w:rPr>
        <w:t xml:space="preserve"> dob</w:t>
      </w:r>
      <w:r>
        <w:rPr>
          <w:rFonts w:cs="Times New Roman"/>
          <w:lang w:val="hr-HR"/>
        </w:rPr>
        <w:t>i</w:t>
      </w:r>
      <w:r w:rsidRPr="00A47139">
        <w:rPr>
          <w:rFonts w:cs="Times New Roman"/>
          <w:lang w:val="hr-HR"/>
        </w:rPr>
        <w:t xml:space="preserve">“ </w:t>
      </w:r>
      <w:r>
        <w:rPr>
          <w:rFonts w:cs="Times New Roman"/>
          <w:lang w:val="hr-HR"/>
        </w:rPr>
        <w:t>i</w:t>
      </w:r>
      <w:r w:rsidRPr="00A47139">
        <w:rPr>
          <w:rFonts w:cs="Times New Roman"/>
          <w:lang w:val="hr-HR"/>
        </w:rPr>
        <w:t xml:space="preserve">z plaćenog zaposlenja. Međutim, to ne znači da su takve klauzule u kolektivnom ugovoru izuzete od bilo kakve djelotvorne revizije od strane sudova u svjetlu odredbi FED-a i načela jednakog postupanja. Takav se pregled provodi u skladu s posebnim značajkama klauzule koja se ispituje. U pogledu svakog sporazuma mora se osigurati da ispunjavaju uvjete utvrđene u članku 6. stavku 1. </w:t>
      </w:r>
      <w:r w:rsidR="000658EE" w:rsidRPr="00B43165">
        <w:rPr>
          <w:rFonts w:cs="Times New Roman"/>
          <w:lang w:val="hr-HR"/>
        </w:rPr>
        <w:t>FED-a.</w:t>
      </w:r>
      <w:r w:rsidR="000658EE" w:rsidRPr="000658EE">
        <w:rPr>
          <w:rFonts w:cs="Times New Roman"/>
          <w:vertAlign w:val="superscript"/>
        </w:rPr>
        <w:footnoteReference w:id="6"/>
      </w:r>
    </w:p>
    <w:p w14:paraId="521D91F7" w14:textId="77777777" w:rsidR="00B14D70" w:rsidRPr="00B43165" w:rsidRDefault="00B14D70" w:rsidP="003A495D">
      <w:pPr>
        <w:rPr>
          <w:rFonts w:cs="Times New Roman"/>
          <w:lang w:val="hr-HR"/>
        </w:rPr>
      </w:pPr>
    </w:p>
    <w:p w14:paraId="5FF2DBDA" w14:textId="1565322A" w:rsidR="00B14D70" w:rsidRDefault="00B14D70" w:rsidP="003A495D">
      <w:pPr>
        <w:rPr>
          <w:rFonts w:cs="Times New Roman"/>
          <w:lang w:val="hr-HR"/>
        </w:rPr>
      </w:pPr>
      <w:r w:rsidRPr="00B14D70">
        <w:rPr>
          <w:rFonts w:cs="Times New Roman"/>
          <w:lang w:val="hr-HR"/>
        </w:rPr>
        <w:lastRenderedPageBreak/>
        <w:t>Široka slobodna procjena socijalnih partnera temelji se na pretpostavci da je dob prolazna osobna karakteristika. Teorijski pristupi podupiru argument za fleksibilne propise. Dva glavna pristupa u tim kontekstima su 'cjeloviti životni pogled' i 'argument poštenog unosa'. Ob</w:t>
      </w:r>
      <w:r>
        <w:rPr>
          <w:rFonts w:cs="Times New Roman"/>
          <w:lang w:val="hr-HR"/>
        </w:rPr>
        <w:t>a</w:t>
      </w:r>
      <w:r w:rsidRPr="00B14D70">
        <w:rPr>
          <w:rFonts w:cs="Times New Roman"/>
          <w:lang w:val="hr-HR"/>
        </w:rPr>
        <w:t xml:space="preserve"> podržavaju argument da se jednakost među pojedincima na temelju dobi ne bi trebala procjenjivati ​​u određenom vremenskom intervalu već kroz </w:t>
      </w:r>
      <w:r>
        <w:rPr>
          <w:rFonts w:cs="Times New Roman"/>
          <w:lang w:val="hr-HR"/>
        </w:rPr>
        <w:t xml:space="preserve">cijeli </w:t>
      </w:r>
      <w:r w:rsidRPr="00B14D70">
        <w:rPr>
          <w:rFonts w:cs="Times New Roman"/>
          <w:lang w:val="hr-HR"/>
        </w:rPr>
        <w:t>radni vijek. Cjeloviti životni pristup tvrdi da kada se procjenjuj</w:t>
      </w:r>
      <w:r>
        <w:rPr>
          <w:rFonts w:cs="Times New Roman"/>
          <w:lang w:val="hr-HR"/>
        </w:rPr>
        <w:t>e</w:t>
      </w:r>
      <w:r w:rsidRPr="00B14D70">
        <w:rPr>
          <w:rFonts w:cs="Times New Roman"/>
          <w:lang w:val="hr-HR"/>
        </w:rPr>
        <w:t xml:space="preserve"> udio resursa i dobrobiti različitih ljudi, moraju se uzeti u obzir količine stvari koje oni dobiju tijekom cijelog svog života.</w:t>
      </w:r>
      <w:r w:rsidRPr="00DE027A">
        <w:rPr>
          <w:rStyle w:val="FootnoteReference"/>
          <w:rFonts w:cs="Times New Roman"/>
        </w:rPr>
        <w:footnoteReference w:id="7"/>
      </w:r>
      <w:r w:rsidRPr="00B14D70">
        <w:rPr>
          <w:rFonts w:cs="Times New Roman"/>
          <w:lang w:val="hr-HR"/>
        </w:rPr>
        <w:t xml:space="preserve"> Drugim riječima, ako svi imaju pravo na iste beneficije i na iste terete, ne dolazi do diskriminacije. Ovaj pristup opravdava nepovoljniji tretman, poput obvezne dob za umirovljenje za starije radnike ili nižu plaću za mlađe zaposlenike, jer ga najpovoljniji tretman nadoknađuje u prošlosti ili će se dobiti u budućnosti. Argument poštenog </w:t>
      </w:r>
      <w:r>
        <w:rPr>
          <w:rFonts w:cs="Times New Roman"/>
          <w:lang w:val="hr-HR"/>
        </w:rPr>
        <w:t>unosa</w:t>
      </w:r>
      <w:r w:rsidRPr="00B14D70">
        <w:rPr>
          <w:rFonts w:cs="Times New Roman"/>
          <w:lang w:val="hr-HR"/>
        </w:rPr>
        <w:t xml:space="preserve"> tvrdi da je diskriminacija na temelju dobi opravdana ako se želi izbjeći nejednakost ili postići suštinska jednakost među generacijama.</w:t>
      </w:r>
      <w:r w:rsidRPr="00DE027A">
        <w:rPr>
          <w:rStyle w:val="FootnoteReference"/>
          <w:rFonts w:cs="Times New Roman"/>
        </w:rPr>
        <w:footnoteReference w:id="8"/>
      </w:r>
      <w:r w:rsidRPr="00B14D70">
        <w:rPr>
          <w:rFonts w:cs="Times New Roman"/>
          <w:lang w:val="hr-HR"/>
        </w:rPr>
        <w:t>. Ovaj argument podupire pozitivnu diskriminaciju mlađih radnika kako bi se osiguralo da će dobiti iste mogućnosti i stečene prednosti kao i starija generacija.</w:t>
      </w:r>
    </w:p>
    <w:p w14:paraId="3C33E3BA" w14:textId="17B47FDE" w:rsidR="00B14D70" w:rsidRPr="00B14D70" w:rsidRDefault="00B14D70" w:rsidP="00B14D70">
      <w:pPr>
        <w:rPr>
          <w:rFonts w:cs="Times New Roman"/>
          <w:lang w:val="hr-HR"/>
        </w:rPr>
      </w:pPr>
      <w:r w:rsidRPr="00B14D70">
        <w:rPr>
          <w:rFonts w:cs="Times New Roman"/>
          <w:lang w:val="hr-HR"/>
        </w:rPr>
        <w:t xml:space="preserve">S druge strane, treba imati na umu da dobna diskriminacija - kao i </w:t>
      </w:r>
      <w:r>
        <w:rPr>
          <w:rFonts w:cs="Times New Roman"/>
          <w:lang w:val="hr-HR"/>
        </w:rPr>
        <w:t xml:space="preserve">diskriminacija na </w:t>
      </w:r>
      <w:r w:rsidRPr="00B14D70">
        <w:rPr>
          <w:rFonts w:cs="Times New Roman"/>
          <w:lang w:val="hr-HR"/>
        </w:rPr>
        <w:t>bilo koj</w:t>
      </w:r>
      <w:r>
        <w:rPr>
          <w:rFonts w:cs="Times New Roman"/>
          <w:lang w:val="hr-HR"/>
        </w:rPr>
        <w:t>oj</w:t>
      </w:r>
      <w:r w:rsidRPr="00B14D70">
        <w:rPr>
          <w:rFonts w:cs="Times New Roman"/>
          <w:lang w:val="hr-HR"/>
        </w:rPr>
        <w:t xml:space="preserve"> osnov</w:t>
      </w:r>
      <w:r>
        <w:rPr>
          <w:rFonts w:cs="Times New Roman"/>
          <w:lang w:val="hr-HR"/>
        </w:rPr>
        <w:t>i</w:t>
      </w:r>
      <w:r w:rsidRPr="00B14D70">
        <w:rPr>
          <w:rFonts w:cs="Times New Roman"/>
          <w:lang w:val="hr-HR"/>
        </w:rPr>
        <w:t xml:space="preserve"> - šteti dostojanstvu čovjeka ili autonomiji osobe, posebno u slučajevima kada se diskriminacija temelji na stereotipima. Stoga se s opravdanjem temeljenim na obliku distributivne nejednakosti mora postupati pažljivo.</w:t>
      </w:r>
    </w:p>
    <w:p w14:paraId="059ADEE4" w14:textId="52506CA7" w:rsidR="00B14D70" w:rsidRPr="00B14D70" w:rsidRDefault="00B14D70" w:rsidP="00B14D70">
      <w:pPr>
        <w:rPr>
          <w:rFonts w:cs="Times New Roman"/>
          <w:lang w:val="hr-HR"/>
        </w:rPr>
      </w:pPr>
      <w:r w:rsidRPr="00B14D70">
        <w:rPr>
          <w:rFonts w:cs="Times New Roman"/>
          <w:lang w:val="hr-HR"/>
        </w:rPr>
        <w:t xml:space="preserve">Općenito govoreći, Sud Europske unije prihvaća oba argumenta; kada slijedi pristup cjelovitog pogleda na život, obje dobne skupine moraju prihvatiti nepovoljnije tretmane, a kada razmatra argument pravednog </w:t>
      </w:r>
      <w:r>
        <w:rPr>
          <w:rFonts w:cs="Times New Roman"/>
          <w:lang w:val="hr-HR"/>
        </w:rPr>
        <w:t>unosa</w:t>
      </w:r>
      <w:r w:rsidRPr="00B14D70">
        <w:rPr>
          <w:rFonts w:cs="Times New Roman"/>
          <w:lang w:val="hr-HR"/>
        </w:rPr>
        <w:t>, povoljan tretman mlađih radnika može se opravdati na štetu sredovječnih ili starijih radnika. Na temelju analize sudske prakse, tvrdi se da je CJEU u cjelini blaži u prihvaćanju nepovoljnih mjera za starije i da prihvaća opravdanje koje štiti mlađe. Stoga, štiteći interese starijih osoba, socijalni partneri moraju biti pažljivi i pronaći zdravu ravnotežu između interesa svih dobnih skupina.</w:t>
      </w:r>
    </w:p>
    <w:p w14:paraId="6A9C39FB" w14:textId="77777777" w:rsidR="00F73073" w:rsidRPr="00B43165" w:rsidRDefault="00F73073" w:rsidP="00D00B28">
      <w:pPr>
        <w:rPr>
          <w:rFonts w:cs="Times New Roman"/>
          <w:lang w:val="hr-HR"/>
        </w:rPr>
      </w:pPr>
    </w:p>
    <w:p w14:paraId="0EC191B6" w14:textId="31056849" w:rsidR="009905FD" w:rsidRPr="003620F3" w:rsidRDefault="003620F3" w:rsidP="002E0BF1">
      <w:pPr>
        <w:pStyle w:val="Heading1"/>
        <w:rPr>
          <w:rFonts w:ascii="Times New Roman" w:hAnsi="Times New Roman" w:cs="Times New Roman"/>
          <w:color w:val="auto"/>
          <w:lang w:val="hr-HR"/>
        </w:rPr>
      </w:pPr>
      <w:r w:rsidRPr="003620F3">
        <w:rPr>
          <w:rFonts w:ascii="Times New Roman" w:hAnsi="Times New Roman" w:cs="Times New Roman"/>
          <w:color w:val="auto"/>
          <w:lang w:val="hr-HR"/>
        </w:rPr>
        <w:t xml:space="preserve">Vodeći principi </w:t>
      </w:r>
    </w:p>
    <w:p w14:paraId="66AE37EB" w14:textId="2FB5791A" w:rsidR="003620F3" w:rsidRDefault="003620F3" w:rsidP="00504497">
      <w:pPr>
        <w:rPr>
          <w:rFonts w:cs="Times New Roman"/>
          <w:lang w:val="hr-HR"/>
        </w:rPr>
      </w:pPr>
      <w:r w:rsidRPr="003620F3">
        <w:rPr>
          <w:rFonts w:cs="Times New Roman"/>
          <w:lang w:val="hr-HR"/>
        </w:rPr>
        <w:t>Temeljna prava zajamčena u pravnom poretku Europske unije primjenjiva su u svim situacijama koje uređuje pravo EU</w:t>
      </w:r>
      <w:r>
        <w:rPr>
          <w:rFonts w:cs="Times New Roman"/>
          <w:lang w:val="hr-HR"/>
        </w:rPr>
        <w:t>, a</w:t>
      </w:r>
      <w:r w:rsidRPr="003620F3">
        <w:rPr>
          <w:rFonts w:cs="Times New Roman"/>
          <w:lang w:val="hr-HR"/>
        </w:rPr>
        <w:t xml:space="preserve"> primjenjivost prava EU podrazumijeva primjenjivost temeljnih prava zajamčenih Poveljom</w:t>
      </w:r>
      <w:r w:rsidRPr="00DE027A">
        <w:rPr>
          <w:rStyle w:val="FootnoteReference"/>
          <w:rFonts w:cs="Times New Roman"/>
        </w:rPr>
        <w:footnoteReference w:id="9"/>
      </w:r>
      <w:r w:rsidRPr="003620F3">
        <w:rPr>
          <w:rFonts w:cs="Times New Roman"/>
          <w:lang w:val="hr-HR"/>
        </w:rPr>
        <w:t xml:space="preserve">. Osnovno obrazloženje zakona protiv diskriminacije je da se mora priznati dostojanstvo svake osobe. Stoga, umjesto kategorizacije koja se temelji na stereotipima, moraju se </w:t>
      </w:r>
      <w:r>
        <w:rPr>
          <w:rFonts w:cs="Times New Roman"/>
          <w:lang w:val="hr-HR"/>
        </w:rPr>
        <w:t xml:space="preserve">usvojiti </w:t>
      </w:r>
      <w:r w:rsidRPr="003620F3">
        <w:rPr>
          <w:rFonts w:cs="Times New Roman"/>
          <w:lang w:val="hr-HR"/>
        </w:rPr>
        <w:t>razlike koje se odnose na pojedinačne osnove.</w:t>
      </w:r>
      <w:r>
        <w:rPr>
          <w:rFonts w:cs="Times New Roman"/>
          <w:lang w:val="hr-HR"/>
        </w:rPr>
        <w:t xml:space="preserve">  </w:t>
      </w:r>
      <w:r w:rsidRPr="003620F3">
        <w:rPr>
          <w:rFonts w:cs="Times New Roman"/>
          <w:lang w:val="hr-HR"/>
        </w:rPr>
        <w:t xml:space="preserve">Prema tim obrazloženjima, zabrana dobne diskriminacije može </w:t>
      </w:r>
      <w:r w:rsidRPr="003620F3">
        <w:rPr>
          <w:rFonts w:cs="Times New Roman"/>
          <w:lang w:val="hr-HR"/>
        </w:rPr>
        <w:lastRenderedPageBreak/>
        <w:t xml:space="preserve">se opravdati ako dob dovodi do lažnih stereotipa utemeljenih na </w:t>
      </w:r>
      <w:r>
        <w:rPr>
          <w:rFonts w:cs="Times New Roman"/>
          <w:lang w:val="hr-HR"/>
        </w:rPr>
        <w:t>društvenim predrasudama</w:t>
      </w:r>
      <w:bookmarkStart w:id="4" w:name="_Ref55135018"/>
      <w:r w:rsidR="00CB76CF" w:rsidRPr="00DE027A">
        <w:rPr>
          <w:rStyle w:val="FootnoteReference"/>
          <w:rFonts w:cs="Times New Roman"/>
        </w:rPr>
        <w:footnoteReference w:id="10"/>
      </w:r>
      <w:bookmarkEnd w:id="4"/>
      <w:r w:rsidRPr="003620F3">
        <w:rPr>
          <w:rFonts w:cs="Times New Roman"/>
          <w:lang w:val="hr-HR"/>
        </w:rPr>
        <w:t>. U svijetu rada postoji mnogo raz</w:t>
      </w:r>
      <w:r>
        <w:rPr>
          <w:rFonts w:cs="Times New Roman"/>
          <w:lang w:val="hr-HR"/>
        </w:rPr>
        <w:t>nih</w:t>
      </w:r>
      <w:r w:rsidRPr="003620F3">
        <w:rPr>
          <w:rFonts w:cs="Times New Roman"/>
          <w:lang w:val="hr-HR"/>
        </w:rPr>
        <w:t xml:space="preserve"> stereotipa, </w:t>
      </w:r>
      <w:r>
        <w:rPr>
          <w:rFonts w:cs="Times New Roman"/>
          <w:lang w:val="hr-HR"/>
        </w:rPr>
        <w:t>npr.</w:t>
      </w:r>
      <w:r w:rsidRPr="003620F3">
        <w:rPr>
          <w:rFonts w:cs="Times New Roman"/>
          <w:lang w:val="hr-HR"/>
        </w:rPr>
        <w:t xml:space="preserve"> pretpostavk</w:t>
      </w:r>
      <w:r>
        <w:rPr>
          <w:rFonts w:cs="Times New Roman"/>
          <w:lang w:val="hr-HR"/>
        </w:rPr>
        <w:t>a</w:t>
      </w:r>
      <w:r w:rsidRPr="003620F3">
        <w:rPr>
          <w:rFonts w:cs="Times New Roman"/>
          <w:lang w:val="hr-HR"/>
        </w:rPr>
        <w:t xml:space="preserve"> da su ljudi iznad određene dobi nefleksibilni, u osnovi konzervativni ili manje produktivni. Ti stereotipi obeshrabruju ljude iznad određene dobi da traže izazovne položaje. S druge strane, visoka stopa nezaposlenosti među mladima ukazuje na to da postoje i stereotipi povezani s mlad</w:t>
      </w:r>
      <w:r>
        <w:rPr>
          <w:rFonts w:cs="Times New Roman"/>
          <w:lang w:val="hr-HR"/>
        </w:rPr>
        <w:t>ima</w:t>
      </w:r>
      <w:r w:rsidRPr="003620F3">
        <w:rPr>
          <w:rFonts w:cs="Times New Roman"/>
          <w:lang w:val="hr-HR"/>
        </w:rPr>
        <w:t>. Zabrana dobne diskriminacije prema nediskriminacijskim osnovama zahtijevala bi dopuštanje samo minimalnih iznimaka od ove zabrane, a također bi zabranila široko prihvaćenu uporabu starosti kao čimbenika u zapošljavanju i socijalnoj politici.</w:t>
      </w:r>
    </w:p>
    <w:p w14:paraId="5FF3ACB7" w14:textId="7FAF0C3D" w:rsidR="00CB76CF" w:rsidRPr="003620F3" w:rsidRDefault="00CB76CF" w:rsidP="00504497">
      <w:pPr>
        <w:rPr>
          <w:rFonts w:cs="Times New Roman"/>
          <w:lang w:val="hr-HR"/>
        </w:rPr>
      </w:pPr>
      <w:r w:rsidRPr="00CB76CF">
        <w:rPr>
          <w:rFonts w:cs="Times New Roman"/>
          <w:lang w:val="hr-HR"/>
        </w:rPr>
        <w:t>Članak 6. stavak 1. FED-a omogućuje široku upotrebu dobnih skupina u socijalnoj politici i politici zapošljavanja, a državama članicama daje dodatno opravdanje za održavanje relevantnih socijalnih politika. Međutim, stroge podjele između dobnih skupina i srodnih životnih ciklusa (prvo faza obrazovanja za mlade, drugo neprekinuti radni vijek i treće, zara</w:t>
      </w:r>
      <w:r>
        <w:rPr>
          <w:rFonts w:cs="Times New Roman"/>
          <w:lang w:val="hr-HR"/>
        </w:rPr>
        <w:t>đ</w:t>
      </w:r>
      <w:r w:rsidRPr="00CB76CF">
        <w:rPr>
          <w:rFonts w:cs="Times New Roman"/>
          <w:lang w:val="hr-HR"/>
        </w:rPr>
        <w:t xml:space="preserve">ena mirovina za starije osobe) više ne odgovara rastućim zahtjevima individualne fleksibilnosti u </w:t>
      </w:r>
      <w:r>
        <w:rPr>
          <w:rFonts w:cs="Times New Roman"/>
          <w:lang w:val="hr-HR"/>
        </w:rPr>
        <w:t>gospodarstva zasnovanom na znanju</w:t>
      </w:r>
      <w:r w:rsidRPr="00CB76CF">
        <w:rPr>
          <w:rFonts w:cs="Times New Roman"/>
          <w:lang w:val="hr-HR"/>
        </w:rPr>
        <w:t xml:space="preserve">. Socijalni partneri moraju težiti fleksibilnijem razumijevanju individualnih putova karijere i učinkovito se boriti protiv </w:t>
      </w:r>
      <w:r>
        <w:rPr>
          <w:rFonts w:cs="Times New Roman"/>
          <w:lang w:val="hr-HR"/>
        </w:rPr>
        <w:t xml:space="preserve">diskriminacije na osnovi dobi. </w:t>
      </w:r>
      <w:r w:rsidRPr="00CB76CF">
        <w:rPr>
          <w:rFonts w:cs="Times New Roman"/>
          <w:lang w:val="hr-HR"/>
        </w:rPr>
        <w:t>Sljedeći odjeljak analizira sudsku praksu Europskog suda pravde kako bi odredio treba li FED spriječiti</w:t>
      </w:r>
      <w:r>
        <w:rPr>
          <w:rFonts w:cs="Times New Roman"/>
          <w:lang w:val="hr-HR"/>
        </w:rPr>
        <w:t xml:space="preserve"> neku</w:t>
      </w:r>
      <w:r w:rsidRPr="00CB76CF">
        <w:rPr>
          <w:rFonts w:cs="Times New Roman"/>
          <w:lang w:val="hr-HR"/>
        </w:rPr>
        <w:t xml:space="preserve"> mjeru ili ne.</w:t>
      </w:r>
    </w:p>
    <w:p w14:paraId="1685C304" w14:textId="77777777" w:rsidR="00F73073" w:rsidRPr="00B43165" w:rsidRDefault="00F73073" w:rsidP="00D00B28">
      <w:pPr>
        <w:rPr>
          <w:rFonts w:cs="Times New Roman"/>
          <w:lang w:val="hr-HR"/>
        </w:rPr>
      </w:pPr>
    </w:p>
    <w:p w14:paraId="54615D9B" w14:textId="5D33F331" w:rsidR="00F73073" w:rsidRPr="00B43165" w:rsidRDefault="003873DF" w:rsidP="002E0BF1">
      <w:pPr>
        <w:pStyle w:val="Heading2"/>
        <w:rPr>
          <w:rFonts w:ascii="Times New Roman" w:hAnsi="Times New Roman" w:cs="Times New Roman"/>
          <w:color w:val="auto"/>
          <w:lang w:val="hr-HR"/>
        </w:rPr>
      </w:pPr>
      <w:r w:rsidRPr="00B43165">
        <w:rPr>
          <w:rFonts w:ascii="Times New Roman" w:hAnsi="Times New Roman" w:cs="Times New Roman"/>
          <w:color w:val="auto"/>
          <w:lang w:val="hr-HR"/>
        </w:rPr>
        <w:t>Opravdan</w:t>
      </w:r>
      <w:r w:rsidR="008D741C" w:rsidRPr="00B43165">
        <w:rPr>
          <w:rFonts w:ascii="Times New Roman" w:hAnsi="Times New Roman" w:cs="Times New Roman"/>
          <w:color w:val="auto"/>
          <w:lang w:val="hr-HR"/>
        </w:rPr>
        <w:t>ost</w:t>
      </w:r>
    </w:p>
    <w:p w14:paraId="1FCA8FE1" w14:textId="04FCF87F" w:rsidR="003873DF" w:rsidRPr="003873DF" w:rsidRDefault="003873DF" w:rsidP="009905FD">
      <w:pPr>
        <w:rPr>
          <w:rFonts w:cs="Times New Roman"/>
          <w:lang w:val="hr-HR"/>
        </w:rPr>
      </w:pPr>
      <w:r w:rsidRPr="003873DF">
        <w:rPr>
          <w:rFonts w:cs="Times New Roman"/>
          <w:lang w:val="hr-HR"/>
        </w:rPr>
        <w:t>Člankom 6. Direktive 2000/78 propisano je da države članice mogu odrediti da razlike u postupanju na temelju dobi neće predstavljati diskriminaciju, ako su u kontekstu nacionalnog zakona objektivno i opravdano opravdane legitimnim ciljem, uključujući legitimnu politiku zapošljavanja, ciljeve tržišta rada i strukovnog osposobljavanja te ako su sredstva za postizanje tog cilja prikladna i potrebna.</w:t>
      </w:r>
      <w:r w:rsidRPr="003873DF">
        <w:rPr>
          <w:lang w:val="hr-HR"/>
        </w:rPr>
        <w:t xml:space="preserve"> </w:t>
      </w:r>
      <w:r w:rsidRPr="003873DF">
        <w:rPr>
          <w:rFonts w:cs="Times New Roman"/>
          <w:lang w:val="hr-HR"/>
        </w:rPr>
        <w:t>Te razlike u postupanju mogu, između ostalog, obuhvaćati: a) postavljanje posebnih uvjeta za pristup zapošljavanju i stručnom osposobljavanju, zapošljavanju i zanimanju, uključujući otpuštanje i plaću, za mlade, za starije i osobe s odgovornostima njegovatelja za promicanje njihovog strukovnog obrazovanja, integracije, ili osiguranja njihove zaštit</w:t>
      </w:r>
      <w:r>
        <w:rPr>
          <w:rFonts w:cs="Times New Roman"/>
          <w:lang w:val="hr-HR"/>
        </w:rPr>
        <w:t>e</w:t>
      </w:r>
      <w:r w:rsidRPr="003873DF">
        <w:rPr>
          <w:rFonts w:cs="Times New Roman"/>
          <w:lang w:val="hr-HR"/>
        </w:rPr>
        <w:t>;</w:t>
      </w:r>
      <w:r w:rsidR="0038012F">
        <w:rPr>
          <w:rFonts w:cs="Times New Roman"/>
          <w:lang w:val="hr-HR"/>
        </w:rPr>
        <w:t xml:space="preserve"> </w:t>
      </w:r>
      <w:r w:rsidR="0038012F" w:rsidRPr="0038012F">
        <w:rPr>
          <w:rFonts w:cs="Times New Roman"/>
          <w:lang w:val="hr-HR"/>
        </w:rPr>
        <w:t xml:space="preserve">b) utvrđivanje minimalnih uvjeta za dob, profesionalno iskustvo ili radni staž za pristup zapošljavanju ili određene pogodnosti povezane sa zaposlenjem; c) utvrđivanje maksimalne dobi za zapošljavanje koja se temelji na zahtjevima za osposobljavanjem </w:t>
      </w:r>
      <w:r w:rsidR="0038012F">
        <w:rPr>
          <w:rFonts w:cs="Times New Roman"/>
          <w:lang w:val="hr-HR"/>
        </w:rPr>
        <w:t>za</w:t>
      </w:r>
      <w:r w:rsidR="0038012F" w:rsidRPr="0038012F">
        <w:rPr>
          <w:rFonts w:cs="Times New Roman"/>
          <w:lang w:val="hr-HR"/>
        </w:rPr>
        <w:t xml:space="preserve"> radno mjest</w:t>
      </w:r>
      <w:r w:rsidR="0038012F">
        <w:rPr>
          <w:rFonts w:cs="Times New Roman"/>
          <w:lang w:val="hr-HR"/>
        </w:rPr>
        <w:t>o</w:t>
      </w:r>
      <w:r w:rsidR="0038012F" w:rsidRPr="0038012F">
        <w:rPr>
          <w:rFonts w:cs="Times New Roman"/>
          <w:lang w:val="hr-HR"/>
        </w:rPr>
        <w:t xml:space="preserve"> ili potrebi razumnog razdoblja zaposlenja prije umirovljenja. Socijalni partneri uživaju široku diskreciju u svom izboru, ne samo za postizanjem određenog cilja na polju socijalne politike i politike zapošljavanja, već i u definiranju mjera </w:t>
      </w:r>
      <w:r w:rsidR="0038012F">
        <w:rPr>
          <w:rFonts w:cs="Times New Roman"/>
          <w:lang w:val="hr-HR"/>
        </w:rPr>
        <w:t>za njegovo postizanje</w:t>
      </w:r>
      <w:r w:rsidR="00D0061B" w:rsidRPr="00D0061B">
        <w:rPr>
          <w:rFonts w:cs="Times New Roman"/>
          <w:lang w:val="hr-HR"/>
        </w:rPr>
        <w:t>.</w:t>
      </w:r>
      <w:r w:rsidR="00D0061B" w:rsidRPr="00DE027A">
        <w:rPr>
          <w:rStyle w:val="FootnoteReference"/>
          <w:rFonts w:cs="Times New Roman"/>
        </w:rPr>
        <w:footnoteReference w:id="11"/>
      </w:r>
    </w:p>
    <w:p w14:paraId="5740BA68" w14:textId="77777777" w:rsidR="00D0061B" w:rsidRPr="00B43165" w:rsidRDefault="00D0061B" w:rsidP="00D00B28">
      <w:pPr>
        <w:rPr>
          <w:rFonts w:cs="Times New Roman"/>
          <w:lang w:val="hr-HR"/>
        </w:rPr>
      </w:pPr>
    </w:p>
    <w:p w14:paraId="3DEBE460" w14:textId="77777777" w:rsidR="00D0061B" w:rsidRPr="00B43165" w:rsidRDefault="00D0061B" w:rsidP="00D00B28">
      <w:pPr>
        <w:rPr>
          <w:rFonts w:cs="Times New Roman"/>
          <w:lang w:val="hr-HR"/>
        </w:rPr>
      </w:pPr>
    </w:p>
    <w:p w14:paraId="162E4D9C" w14:textId="1E75F527" w:rsidR="00D0061B" w:rsidRDefault="00D0061B" w:rsidP="00D00B28">
      <w:pPr>
        <w:rPr>
          <w:rFonts w:cs="Times New Roman"/>
          <w:lang w:val="hr-HR"/>
        </w:rPr>
      </w:pPr>
      <w:r w:rsidRPr="00D0061B">
        <w:rPr>
          <w:rFonts w:cs="Times New Roman"/>
          <w:lang w:val="hr-HR"/>
        </w:rPr>
        <w:lastRenderedPageBreak/>
        <w:t xml:space="preserve">Prema ustaljenoj sudskoj praksi Europskog suda pravde, pojam „objektivnih razloga“ zahtijeva da se utvrdi da postoji neravnopravan tretman, </w:t>
      </w:r>
      <w:r w:rsidRPr="00D0061B">
        <w:rPr>
          <w:rFonts w:cs="Times New Roman"/>
          <w:i/>
          <w:iCs/>
          <w:lang w:val="hr-HR"/>
        </w:rPr>
        <w:t>postojanjem preciznih i konkretnih čimbenika koji karakteriziraju uvjet zaposlenja na koji se odnosi,</w:t>
      </w:r>
      <w:r w:rsidRPr="00D0061B">
        <w:rPr>
          <w:rFonts w:cs="Times New Roman"/>
          <w:lang w:val="hr-HR"/>
        </w:rPr>
        <w:t xml:space="preserve"> u određenom kontekstu u kojem do kojeg dolazi i na temelju objektivnih, transparentnih kriterija, tako da se može utvrditi zadovoljava li taj nejednaki tretman istinsku potrebu, je li prikladan za postizanje željenog cilja i potreban je u tu svrhu. Ti čimbenici mogu proizlaziti, bilo iz posebne prirode zadataka ili iz ostvarivanja legitimnog cilja socijalne politike.</w:t>
      </w:r>
      <w:r w:rsidRPr="00D0061B">
        <w:rPr>
          <w:rStyle w:val="FootnoteReference"/>
          <w:rFonts w:cs="Times New Roman"/>
          <w:lang w:val="hr-HR"/>
        </w:rPr>
        <w:footnoteReference w:id="12"/>
      </w:r>
    </w:p>
    <w:p w14:paraId="7B09411C" w14:textId="61C3CBB0" w:rsidR="001C00BF" w:rsidRPr="004B4CF5" w:rsidRDefault="004B4CF5" w:rsidP="001C00BF">
      <w:pPr>
        <w:rPr>
          <w:rFonts w:cs="Times New Roman"/>
          <w:lang w:val="hr-HR"/>
        </w:rPr>
      </w:pPr>
      <w:r w:rsidRPr="004B4CF5">
        <w:rPr>
          <w:rFonts w:cs="Times New Roman"/>
          <w:lang w:val="hr-HR"/>
        </w:rPr>
        <w:t>Treba razlikovati osnovu same diskriminacije i osobine povezane s njom. Upravo potonje mora predstavljati „</w:t>
      </w:r>
      <w:r w:rsidRPr="004B4CF5">
        <w:rPr>
          <w:rFonts w:cs="Times New Roman"/>
          <w:i/>
          <w:iCs/>
          <w:lang w:val="hr-HR"/>
        </w:rPr>
        <w:t>istinski i presudan profesionalni zahtjev</w:t>
      </w:r>
      <w:r w:rsidRPr="004B4CF5">
        <w:rPr>
          <w:rFonts w:cs="Times New Roman"/>
          <w:lang w:val="hr-HR"/>
        </w:rPr>
        <w:t>“ koji opravdava različito postupanje, a ne osnovu diskriminacije same po sebi</w:t>
      </w:r>
      <w:r w:rsidRPr="004B4CF5">
        <w:rPr>
          <w:rFonts w:cs="Times New Roman"/>
          <w:lang w:val="it-IT"/>
        </w:rPr>
        <w:t>.</w:t>
      </w:r>
      <w:r w:rsidRPr="00DE027A">
        <w:rPr>
          <w:rStyle w:val="FootnoteReference"/>
          <w:rFonts w:cs="Times New Roman"/>
        </w:rPr>
        <w:footnoteReference w:id="13"/>
      </w:r>
      <w:r w:rsidRPr="004B4CF5">
        <w:rPr>
          <w:rFonts w:cs="Times New Roman"/>
          <w:lang w:val="hr-HR"/>
        </w:rPr>
        <w:t xml:space="preserve"> Što se tiče uvjeta koji se odnosi na "istinski i određujući" profesionalni zahtjev, članak 4. stavak 1</w:t>
      </w:r>
      <w:r>
        <w:rPr>
          <w:rFonts w:cs="Times New Roman"/>
          <w:lang w:val="hr-HR"/>
        </w:rPr>
        <w:t>.</w:t>
      </w:r>
      <w:r w:rsidRPr="004B4CF5">
        <w:rPr>
          <w:rFonts w:cs="Times New Roman"/>
          <w:lang w:val="hr-HR"/>
        </w:rPr>
        <w:t xml:space="preserve"> nedvosmislen je: upotreba dvaju pridjeva "izvorno i utvrđujuće" jasno sugerira strogo tumačenje potencijala odredbe, </w:t>
      </w:r>
      <w:r>
        <w:rPr>
          <w:rFonts w:cs="Times New Roman"/>
          <w:lang w:val="hr-HR"/>
        </w:rPr>
        <w:t>jer</w:t>
      </w:r>
      <w:r w:rsidRPr="004B4CF5">
        <w:rPr>
          <w:rFonts w:cs="Times New Roman"/>
          <w:lang w:val="hr-HR"/>
        </w:rPr>
        <w:t xml:space="preserve"> je "odstupanje od pojedinačnog prava utvrđenog u direktivi '. Obrazloženje članka 4. stavka 1. primjenjuje se samo „u minimalnim okolnostima”. Sudska praksa pokazala je odmjerenu uporabu ove iznimke i želju da se ona strogo protumači, prihvaćajući istovremeno da obuhvaća slučajeve u kojima, zbog posebne prirode predmetne profesije, postoji obilježje povezano s godinama, ili neki od osnova diskriminacije, znatno smanjuje sposobnost osobe da pravilno i učinkovito obavlja zanimanje</w:t>
      </w:r>
      <w:r w:rsidR="00046860" w:rsidRPr="004B4CF5">
        <w:rPr>
          <w:rFonts w:cs="Times New Roman"/>
          <w:lang w:val="hr-HR"/>
        </w:rPr>
        <w:t>.</w:t>
      </w:r>
      <w:r w:rsidR="00046860" w:rsidRPr="00DE027A">
        <w:rPr>
          <w:rStyle w:val="FootnoteReference"/>
          <w:rFonts w:cs="Times New Roman"/>
        </w:rPr>
        <w:footnoteReference w:id="14"/>
      </w:r>
    </w:p>
    <w:p w14:paraId="2D13D4EC" w14:textId="77777777" w:rsidR="00F73073" w:rsidRPr="004B4CF5" w:rsidRDefault="00F73073" w:rsidP="00D00B28">
      <w:pPr>
        <w:rPr>
          <w:rFonts w:cs="Times New Roman"/>
          <w:lang w:val="hr-HR"/>
        </w:rPr>
      </w:pPr>
    </w:p>
    <w:p w14:paraId="6CDC1E0D" w14:textId="77777777" w:rsidR="00E80CD5" w:rsidRPr="004B4CF5" w:rsidRDefault="00E80CD5">
      <w:pPr>
        <w:spacing w:line="259" w:lineRule="auto"/>
        <w:jc w:val="left"/>
        <w:rPr>
          <w:rFonts w:eastAsiaTheme="majorEastAsia" w:cs="Times New Roman"/>
          <w:sz w:val="32"/>
          <w:szCs w:val="32"/>
          <w:lang w:val="hr-HR"/>
        </w:rPr>
      </w:pPr>
      <w:r w:rsidRPr="004B4CF5">
        <w:rPr>
          <w:rFonts w:cs="Times New Roman"/>
          <w:lang w:val="hr-HR"/>
        </w:rPr>
        <w:br w:type="page"/>
      </w:r>
    </w:p>
    <w:p w14:paraId="0008E160" w14:textId="75EAB4A1" w:rsidR="00F73073" w:rsidRPr="007D4096" w:rsidRDefault="004B4CF5" w:rsidP="002E0BF1">
      <w:pPr>
        <w:pStyle w:val="Heading1"/>
        <w:rPr>
          <w:rFonts w:ascii="Times New Roman" w:hAnsi="Times New Roman" w:cs="Times New Roman"/>
          <w:color w:val="auto"/>
          <w:lang w:val="hr-HR"/>
        </w:rPr>
      </w:pPr>
      <w:r w:rsidRPr="007D4096">
        <w:rPr>
          <w:rFonts w:ascii="Times New Roman" w:hAnsi="Times New Roman" w:cs="Times New Roman"/>
          <w:color w:val="auto"/>
          <w:lang w:val="hr-HR"/>
        </w:rPr>
        <w:lastRenderedPageBreak/>
        <w:t xml:space="preserve">Primjeri dobre prakse </w:t>
      </w:r>
    </w:p>
    <w:p w14:paraId="46CA366D" w14:textId="1EF08795" w:rsidR="004B4CF5" w:rsidRPr="007D4096" w:rsidRDefault="004B4CF5" w:rsidP="004B4CF5">
      <w:pPr>
        <w:pStyle w:val="Heading2"/>
        <w:rPr>
          <w:rFonts w:ascii="Times New Roman" w:hAnsi="Times New Roman" w:cs="Times New Roman"/>
          <w:lang w:val="hr-HR"/>
        </w:rPr>
      </w:pPr>
      <w:r w:rsidRPr="007D4096">
        <w:rPr>
          <w:rFonts w:ascii="Times New Roman" w:hAnsi="Times New Roman" w:cs="Times New Roman"/>
          <w:color w:val="auto"/>
          <w:lang w:val="hr-HR"/>
        </w:rPr>
        <w:t xml:space="preserve"> Ugovor na određeno vrijeme</w:t>
      </w:r>
    </w:p>
    <w:p w14:paraId="5A72121C" w14:textId="0D4218E7" w:rsidR="004B4CF5" w:rsidRPr="007D4096" w:rsidRDefault="004B4CF5" w:rsidP="004B4CF5">
      <w:pPr>
        <w:rPr>
          <w:lang w:val="hr-HR"/>
        </w:rPr>
      </w:pPr>
      <w:r w:rsidRPr="007D4096">
        <w:rPr>
          <w:lang w:val="hr-HR"/>
        </w:rPr>
        <w:t>Poslodavci će možda htjeti zaposliti starije radnike po ugovorima na određeno vrijeme. Ako se stranke tijekom radnog odnosa žele na neodređeno vrijeme dogovoriti da će odgoditi, ako je potrebno i više puta, dogovoreni datum otkaza ugovora o radu koji se odnosi na dostizanje normalne dob za umirovljenje, jednostavno zato što radnik dostizanjem normalne dobi za umirovljenje ispunjava uvjete za starosnu mirovinu</w:t>
      </w:r>
      <w:r w:rsidR="007D4096" w:rsidRPr="007D4096">
        <w:rPr>
          <w:lang w:val="hr-HR"/>
        </w:rPr>
        <w:t>, p</w:t>
      </w:r>
      <w:r w:rsidRPr="007D4096">
        <w:rPr>
          <w:lang w:val="hr-HR"/>
        </w:rPr>
        <w:t>otrebno je imati objektivne razloge koji opravdavaju obnavljanje takvih ugovora ili odnosa o radu, maksimalno ukupno trajanje tih uzastopnih ugovora ili odnosa na određeno vrijeme i broj obnavljanja takvih ugovora ili odnosa</w:t>
      </w:r>
      <w:r w:rsidR="007D4096" w:rsidRPr="007D4096">
        <w:rPr>
          <w:rFonts w:cs="Times New Roman"/>
          <w:lang w:val="hr-HR"/>
        </w:rPr>
        <w:t>.</w:t>
      </w:r>
      <w:r w:rsidR="007D4096" w:rsidRPr="007D4096">
        <w:rPr>
          <w:rStyle w:val="FootnoteReference"/>
          <w:rFonts w:cs="Times New Roman"/>
          <w:lang w:val="hr-HR"/>
        </w:rPr>
        <w:footnoteReference w:id="15"/>
      </w:r>
      <w:r w:rsidR="007D4096" w:rsidRPr="007D4096">
        <w:rPr>
          <w:lang w:val="hr-HR"/>
        </w:rPr>
        <w:t xml:space="preserve"> </w:t>
      </w:r>
      <w:r w:rsidRPr="007D4096">
        <w:rPr>
          <w:lang w:val="hr-HR"/>
        </w:rPr>
        <w:t>Kako bi se spriječile zlouporabe nastale korištenjem uzastopnih ugovora o radu ili odnosa na određeno vrijeme, kolektivni ugovori mogu, tamo gdje ne postoje jednake pravne mjere za sprečavanje zlo</w:t>
      </w:r>
      <w:r w:rsidR="007D4096" w:rsidRPr="007D4096">
        <w:rPr>
          <w:lang w:val="hr-HR"/>
        </w:rPr>
        <w:t>porabe</w:t>
      </w:r>
      <w:r w:rsidRPr="007D4096">
        <w:rPr>
          <w:lang w:val="hr-HR"/>
        </w:rPr>
        <w:t>, uvesti na način koji uzima u obzir potrebe određenih sektora i / ili kategorija radnika,</w:t>
      </w:r>
      <w:r w:rsidR="007D4096" w:rsidRPr="007D4096">
        <w:rPr>
          <w:lang w:val="hr-HR"/>
        </w:rPr>
        <w:t xml:space="preserve"> </w:t>
      </w:r>
      <w:r w:rsidRPr="007D4096">
        <w:rPr>
          <w:lang w:val="hr-HR"/>
        </w:rPr>
        <w:t>jedn</w:t>
      </w:r>
      <w:r w:rsidR="007D4096" w:rsidRPr="007D4096">
        <w:rPr>
          <w:lang w:val="hr-HR"/>
        </w:rPr>
        <w:t>u</w:t>
      </w:r>
      <w:r w:rsidRPr="007D4096">
        <w:rPr>
          <w:lang w:val="hr-HR"/>
        </w:rPr>
        <w:t xml:space="preserve"> ili više sljedećih mjera:</w:t>
      </w:r>
    </w:p>
    <w:p w14:paraId="3174456F" w14:textId="1A4EB670" w:rsidR="007D4096" w:rsidRPr="007D4096" w:rsidRDefault="007D4096" w:rsidP="007D4096">
      <w:pPr>
        <w:rPr>
          <w:lang w:val="hr-HR"/>
        </w:rPr>
      </w:pPr>
      <w:r w:rsidRPr="007D4096">
        <w:rPr>
          <w:lang w:val="hr-HR"/>
        </w:rPr>
        <w:t>• objektivni razlozi koji opravdavaju obnavljanje takvih ugovora ili odnosa;</w:t>
      </w:r>
    </w:p>
    <w:p w14:paraId="54987B7B" w14:textId="77777777" w:rsidR="007D4096" w:rsidRPr="007D4096" w:rsidRDefault="007D4096" w:rsidP="007D4096">
      <w:pPr>
        <w:rPr>
          <w:lang w:val="hr-HR"/>
        </w:rPr>
      </w:pPr>
      <w:r w:rsidRPr="007D4096">
        <w:rPr>
          <w:lang w:val="hr-HR"/>
        </w:rPr>
        <w:t>• maksimalno ukupno trajanje uzastopnih ugovora ili odnosa na određeno vrijeme;</w:t>
      </w:r>
    </w:p>
    <w:p w14:paraId="78C5F473" w14:textId="77777777" w:rsidR="007D4096" w:rsidRPr="007D4096" w:rsidRDefault="007D4096" w:rsidP="007D4096">
      <w:pPr>
        <w:rPr>
          <w:lang w:val="hr-HR"/>
        </w:rPr>
      </w:pPr>
      <w:r w:rsidRPr="007D4096">
        <w:rPr>
          <w:lang w:val="hr-HR"/>
        </w:rPr>
        <w:t>• broj obnavljanja takvih ugovora ili odnosa.</w:t>
      </w:r>
    </w:p>
    <w:p w14:paraId="5D3FC6A7" w14:textId="41C4A2FA" w:rsidR="007D4096" w:rsidRPr="007D4096" w:rsidRDefault="007D4096" w:rsidP="007D4096">
      <w:pPr>
        <w:rPr>
          <w:lang w:val="hr-HR"/>
        </w:rPr>
      </w:pPr>
      <w:r w:rsidRPr="007D4096">
        <w:rPr>
          <w:lang w:val="hr-HR"/>
        </w:rPr>
        <w:t>Socijalni partneri, mogu odrediti pod kojim uvjetima ugovori o radu na određeno vrijeme ili odnosi:</w:t>
      </w:r>
    </w:p>
    <w:p w14:paraId="72B4DDA4" w14:textId="67AD3FEF" w:rsidR="007D4096" w:rsidRPr="007D4096" w:rsidRDefault="007D4096" w:rsidP="007D4096">
      <w:pPr>
        <w:rPr>
          <w:lang w:val="hr-HR"/>
        </w:rPr>
      </w:pPr>
      <w:r w:rsidRPr="007D4096">
        <w:rPr>
          <w:lang w:val="hr-HR"/>
        </w:rPr>
        <w:t>• mogu se smatrati "sukcesivnim".</w:t>
      </w:r>
    </w:p>
    <w:p w14:paraId="1E72B7C1" w14:textId="77777777" w:rsidR="007D4096" w:rsidRPr="007D4096" w:rsidRDefault="007D4096" w:rsidP="007D4096">
      <w:pPr>
        <w:rPr>
          <w:rFonts w:cs="Times New Roman"/>
          <w:lang w:val="hr-HR"/>
        </w:rPr>
      </w:pPr>
      <w:r w:rsidRPr="007D4096">
        <w:rPr>
          <w:lang w:val="hr-HR"/>
        </w:rPr>
        <w:t>• mogu se smatrati ugovorima ili odnosima na neodređeno vrijeme</w:t>
      </w:r>
      <w:r w:rsidRPr="007D4096">
        <w:rPr>
          <w:rFonts w:cs="Times New Roman"/>
          <w:lang w:val="hr-HR"/>
        </w:rPr>
        <w:t>.</w:t>
      </w:r>
      <w:r w:rsidRPr="007D4096">
        <w:rPr>
          <w:rStyle w:val="FootnoteReference"/>
          <w:rFonts w:cs="Times New Roman"/>
          <w:lang w:val="hr-HR"/>
        </w:rPr>
        <w:footnoteReference w:id="16"/>
      </w:r>
    </w:p>
    <w:p w14:paraId="223A1303" w14:textId="2A052C8C" w:rsidR="00C26C6C" w:rsidRDefault="00C26C6C" w:rsidP="00AB3611">
      <w:pPr>
        <w:rPr>
          <w:rFonts w:cs="Times New Roman"/>
          <w:lang w:val="hr-HR"/>
        </w:rPr>
      </w:pPr>
      <w:r w:rsidRPr="00C26C6C">
        <w:rPr>
          <w:rFonts w:cs="Times New Roman"/>
          <w:lang w:val="hr-HR"/>
        </w:rPr>
        <w:t>Ugovor na određeno vrijeme može se sklopiti i s mladim radnicima. Međutim, ako se ugovor automatski raskida kad zaposlenik dostigne određenu dob, opet je potrebno dokazati da odredba slijedi legitimni cilj politike zapošljavanja i tržišta rada te da su sredstva predviđena za postizanje tog cilja prikladna i potrebn</w:t>
      </w:r>
      <w:r>
        <w:rPr>
          <w:rFonts w:cs="Times New Roman"/>
          <w:lang w:val="hr-HR"/>
        </w:rPr>
        <w:t>a</w:t>
      </w:r>
      <w:r w:rsidRPr="00C26C6C">
        <w:rPr>
          <w:rFonts w:cs="Times New Roman"/>
          <w:lang w:val="hr-HR"/>
        </w:rPr>
        <w:t xml:space="preserve">. U slučaju </w:t>
      </w:r>
      <w:proofErr w:type="spellStart"/>
      <w:r w:rsidRPr="00C26C6C">
        <w:rPr>
          <w:rFonts w:cs="Times New Roman"/>
          <w:i/>
          <w:iCs/>
          <w:lang w:val="hr-HR"/>
        </w:rPr>
        <w:t>Abercrombie</w:t>
      </w:r>
      <w:proofErr w:type="spellEnd"/>
      <w:r w:rsidRPr="00C26C6C">
        <w:rPr>
          <w:rFonts w:cs="Times New Roman"/>
          <w:lang w:val="hr-HR"/>
        </w:rPr>
        <w:t xml:space="preserve">, Sud je utvrdio da nije diskriminirajuće da poslodavac zaključi ugovor </w:t>
      </w:r>
      <w:r>
        <w:rPr>
          <w:rFonts w:cs="Times New Roman"/>
          <w:lang w:val="hr-HR"/>
        </w:rPr>
        <w:t xml:space="preserve">o </w:t>
      </w:r>
      <w:r w:rsidRPr="00C26C6C">
        <w:rPr>
          <w:rFonts w:cs="Times New Roman"/>
          <w:lang w:val="hr-HR"/>
        </w:rPr>
        <w:t>dežur</w:t>
      </w:r>
      <w:r>
        <w:rPr>
          <w:rFonts w:cs="Times New Roman"/>
          <w:lang w:val="hr-HR"/>
        </w:rPr>
        <w:t>stvu</w:t>
      </w:r>
      <w:r w:rsidRPr="00C26C6C">
        <w:rPr>
          <w:rFonts w:cs="Times New Roman"/>
          <w:lang w:val="hr-HR"/>
        </w:rPr>
        <w:t xml:space="preserve"> s radnikom mlađim od 25 godina, bez obzira na prirodu usluga koje će se pružati, i otpusti tog radnika čim </w:t>
      </w:r>
      <w:r>
        <w:rPr>
          <w:rFonts w:cs="Times New Roman"/>
          <w:lang w:val="hr-HR"/>
        </w:rPr>
        <w:t xml:space="preserve">on </w:t>
      </w:r>
      <w:r w:rsidRPr="00C26C6C">
        <w:rPr>
          <w:rFonts w:cs="Times New Roman"/>
          <w:lang w:val="hr-HR"/>
        </w:rPr>
        <w:t>navrš</w:t>
      </w:r>
      <w:r>
        <w:rPr>
          <w:rFonts w:cs="Times New Roman"/>
          <w:lang w:val="hr-HR"/>
        </w:rPr>
        <w:t>i</w:t>
      </w:r>
      <w:r w:rsidRPr="00C26C6C">
        <w:rPr>
          <w:rFonts w:cs="Times New Roman"/>
          <w:lang w:val="hr-HR"/>
        </w:rPr>
        <w:t xml:space="preserve"> 25 godina, budući da odredba slijedi legitimni cilj politike zapošljavanja, naime postizanje određenog stupnja fleksibilnosti na tržištu rada, jer poduzetnike može potaknuti postojanje instrumenta manje zahtjevnog i skupog od uobičajenog ugovor</w:t>
      </w:r>
      <w:r>
        <w:rPr>
          <w:rFonts w:cs="Times New Roman"/>
          <w:lang w:val="hr-HR"/>
        </w:rPr>
        <w:t xml:space="preserve">a, a </w:t>
      </w:r>
      <w:r w:rsidRPr="00C26C6C">
        <w:rPr>
          <w:rFonts w:cs="Times New Roman"/>
          <w:lang w:val="hr-HR"/>
        </w:rPr>
        <w:t xml:space="preserve">tako će se </w:t>
      </w:r>
      <w:r>
        <w:rPr>
          <w:rFonts w:cs="Times New Roman"/>
          <w:lang w:val="hr-HR"/>
        </w:rPr>
        <w:t>ostvariti cilj</w:t>
      </w:r>
      <w:r w:rsidRPr="00C26C6C">
        <w:rPr>
          <w:rFonts w:cs="Times New Roman"/>
          <w:lang w:val="hr-HR"/>
        </w:rPr>
        <w:t xml:space="preserve"> da više odgovaraju na molbe mladih radnika za posao. Štoviše, nedostatak profesionalnog iskustva faktor je koji koči mlade, a mogućnost ulaska u svijet rada i stjecanja iskustva, čak i ako je fleksibilno i vremenski ograničeno, mogla bi predstavljati odskočnu dasku za nove mogućnosti zapošljavanja.</w:t>
      </w:r>
      <w:r w:rsidRPr="00DE027A">
        <w:rPr>
          <w:rStyle w:val="FootnoteReference"/>
          <w:rFonts w:cs="Times New Roman"/>
        </w:rPr>
        <w:footnoteReference w:id="17"/>
      </w:r>
    </w:p>
    <w:p w14:paraId="0C9A03D7" w14:textId="26DBC1F4" w:rsidR="0014731C" w:rsidRPr="003A163E" w:rsidRDefault="00B43165" w:rsidP="002E0BF1">
      <w:pPr>
        <w:pStyle w:val="Heading2"/>
        <w:rPr>
          <w:rFonts w:ascii="Times New Roman" w:hAnsi="Times New Roman" w:cs="Times New Roman"/>
          <w:color w:val="auto"/>
          <w:lang w:val="hr-HR"/>
        </w:rPr>
      </w:pPr>
      <w:r w:rsidRPr="003A163E">
        <w:rPr>
          <w:rFonts w:ascii="Times New Roman" w:hAnsi="Times New Roman" w:cs="Times New Roman"/>
          <w:color w:val="auto"/>
          <w:lang w:val="hr-HR"/>
        </w:rPr>
        <w:lastRenderedPageBreak/>
        <w:t>Određivanje</w:t>
      </w:r>
      <w:r w:rsidR="002C75C0" w:rsidRPr="003A163E">
        <w:rPr>
          <w:rFonts w:ascii="Times New Roman" w:hAnsi="Times New Roman" w:cs="Times New Roman"/>
          <w:color w:val="auto"/>
          <w:lang w:val="hr-HR"/>
        </w:rPr>
        <w:t xml:space="preserve"> najviše dobne granice </w:t>
      </w:r>
    </w:p>
    <w:p w14:paraId="10088BB5" w14:textId="311AD471" w:rsidR="003A163E" w:rsidRDefault="003A163E" w:rsidP="00CF4831">
      <w:pPr>
        <w:rPr>
          <w:rFonts w:cs="Times New Roman"/>
          <w:lang w:val="hr-HR"/>
        </w:rPr>
      </w:pPr>
      <w:r w:rsidRPr="003A163E">
        <w:rPr>
          <w:rFonts w:cs="Times New Roman"/>
          <w:lang w:val="hr-HR"/>
        </w:rPr>
        <w:t xml:space="preserve">Osim u slučaju kada se dobna granica temelji na mogućnosti zaposlenika da stekne starosnu mirovinu, ograničenje trajanja ugovora o radu na temelju dobi zaposlenika opravdano je samo kada zbog djelatnosti koju zaposlenik obavlja, </w:t>
      </w:r>
      <w:r>
        <w:rPr>
          <w:rFonts w:cs="Times New Roman"/>
          <w:lang w:val="hr-HR"/>
        </w:rPr>
        <w:t>premašivanje</w:t>
      </w:r>
      <w:r w:rsidRPr="003A163E">
        <w:rPr>
          <w:rFonts w:cs="Times New Roman"/>
          <w:lang w:val="hr-HR"/>
        </w:rPr>
        <w:t xml:space="preserve"> određene dobi predstavlja rizik. Starost je objektivno povezana sa smanjenjem tjelesnih sposobnosti.</w:t>
      </w:r>
    </w:p>
    <w:p w14:paraId="6D54CBB0" w14:textId="0553CB5E" w:rsidR="003A163E" w:rsidRDefault="003A163E" w:rsidP="00CF4831">
      <w:pPr>
        <w:rPr>
          <w:rFonts w:cs="Times New Roman"/>
          <w:lang w:val="hr-HR"/>
        </w:rPr>
      </w:pPr>
      <w:r>
        <w:rPr>
          <w:rFonts w:cs="Times New Roman"/>
          <w:lang w:val="hr-HR"/>
        </w:rPr>
        <w:t>Određivanje najviše dobne granice</w:t>
      </w:r>
      <w:r w:rsidRPr="003A163E">
        <w:rPr>
          <w:rFonts w:cs="Times New Roman"/>
          <w:lang w:val="hr-HR"/>
        </w:rPr>
        <w:t xml:space="preserve"> mo</w:t>
      </w:r>
      <w:r>
        <w:rPr>
          <w:rFonts w:cs="Times New Roman"/>
          <w:lang w:val="hr-HR"/>
        </w:rPr>
        <w:t>že</w:t>
      </w:r>
      <w:r w:rsidRPr="003A163E">
        <w:rPr>
          <w:rFonts w:cs="Times New Roman"/>
          <w:lang w:val="hr-HR"/>
        </w:rPr>
        <w:t xml:space="preserve"> se opravdati pozivanjem na amortizaciju troškova osposobljavanja </w:t>
      </w:r>
      <w:r>
        <w:rPr>
          <w:rFonts w:cs="Times New Roman"/>
          <w:lang w:val="hr-HR"/>
        </w:rPr>
        <w:t>koje omogućava</w:t>
      </w:r>
      <w:r w:rsidRPr="003A163E">
        <w:rPr>
          <w:rFonts w:cs="Times New Roman"/>
          <w:lang w:val="hr-HR"/>
        </w:rPr>
        <w:t xml:space="preserve"> razumno razdoblj</w:t>
      </w:r>
      <w:r>
        <w:rPr>
          <w:rFonts w:cs="Times New Roman"/>
          <w:lang w:val="hr-HR"/>
        </w:rPr>
        <w:t>e</w:t>
      </w:r>
      <w:r w:rsidRPr="003A163E">
        <w:rPr>
          <w:rFonts w:cs="Times New Roman"/>
          <w:lang w:val="hr-HR"/>
        </w:rPr>
        <w:t xml:space="preserve"> zaposlenja prije umirovljenja. Opravdanje za "istinski profesionalni zahtjev" prema članku 4. nije specifično za dobnu diskriminaciju, ali se često koristi u tim slučajevima. Na primjer, fizički zahtjevi vatrogasne profesije nisu bili oslobođeni starosnog stereotipa. Sugeriralo se da svatko tko je prešao 45 ili 50 godina više nije u mogućnosti sudjelovati u aktivnom gašenju požara zbog "medicinski dokazanog procesa starenja". Sukladno tome, Sud je zaključio da „vrlo malo policajaca starijih od 45 godina ima dovoljnu fizičku sposobnost da provodi vatrogasni dio svojih aktivnosti“. Stoga je mjera kojom se utvrđuje maksimalna dob za zapošljavanje na radna mjesta u vatrogasnoj službi s 30 godina bila dovoljna kao opravdanje za cilj osiguranja operativne sposobnosti i ispravnog funkcioniranja </w:t>
      </w:r>
      <w:r w:rsidR="00C445C1">
        <w:rPr>
          <w:rFonts w:cs="Times New Roman"/>
          <w:lang w:val="hr-HR"/>
        </w:rPr>
        <w:t>predmetne</w:t>
      </w:r>
      <w:r w:rsidRPr="003A163E">
        <w:rPr>
          <w:rFonts w:cs="Times New Roman"/>
          <w:lang w:val="hr-HR"/>
        </w:rPr>
        <w:t xml:space="preserve"> službe</w:t>
      </w:r>
      <w:r w:rsidR="00C445C1" w:rsidRPr="00C445C1">
        <w:rPr>
          <w:rFonts w:cs="Times New Roman"/>
          <w:lang w:val="hr-HR"/>
        </w:rPr>
        <w:t>.</w:t>
      </w:r>
      <w:r w:rsidR="00C445C1" w:rsidRPr="00DE027A">
        <w:rPr>
          <w:rFonts w:cs="Times New Roman"/>
          <w:vertAlign w:val="superscript"/>
        </w:rPr>
        <w:footnoteReference w:id="18"/>
      </w:r>
    </w:p>
    <w:p w14:paraId="7AAD8600" w14:textId="7E3A67A2" w:rsidR="00C445C1" w:rsidRDefault="00C445C1" w:rsidP="00CF4831">
      <w:pPr>
        <w:rPr>
          <w:rFonts w:cs="Times New Roman"/>
          <w:lang w:val="hr-HR"/>
        </w:rPr>
      </w:pPr>
      <w:r w:rsidRPr="00C445C1">
        <w:rPr>
          <w:rFonts w:cs="Times New Roman"/>
          <w:lang w:val="hr-HR"/>
        </w:rPr>
        <w:t>S druge strane</w:t>
      </w:r>
      <w:r>
        <w:rPr>
          <w:rFonts w:cs="Times New Roman"/>
          <w:lang w:val="hr-HR"/>
        </w:rPr>
        <w:t xml:space="preserve">, </w:t>
      </w:r>
      <w:r w:rsidRPr="00C445C1">
        <w:rPr>
          <w:rFonts w:cs="Times New Roman"/>
          <w:lang w:val="hr-HR"/>
        </w:rPr>
        <w:t xml:space="preserve">radni odnos </w:t>
      </w:r>
      <w:r>
        <w:rPr>
          <w:rFonts w:cs="Times New Roman"/>
          <w:lang w:val="hr-HR"/>
        </w:rPr>
        <w:t xml:space="preserve">pilota </w:t>
      </w:r>
      <w:r w:rsidRPr="00C445C1">
        <w:rPr>
          <w:rFonts w:cs="Times New Roman"/>
          <w:lang w:val="hr-HR"/>
        </w:rPr>
        <w:t xml:space="preserve">Deutsche Lufthanse automatski prestaje kad navrši 60 godina, </w:t>
      </w:r>
      <w:r>
        <w:rPr>
          <w:rFonts w:cs="Times New Roman"/>
          <w:lang w:val="hr-HR"/>
        </w:rPr>
        <w:t xml:space="preserve">a </w:t>
      </w:r>
      <w:r w:rsidRPr="00C445C1">
        <w:rPr>
          <w:rFonts w:cs="Times New Roman"/>
          <w:lang w:val="hr-HR"/>
        </w:rPr>
        <w:t xml:space="preserve">Sud je utvrdio da je takav pilot u usporedivoj situaciji s mlađim pilotom koji obavlja istu djelatnost u korist iste zrakoplovne tvrtke i / ili potpada pod isti kolektivni ugovor. S prvim pilotom kojem se ugovor o radu automatski otkazuje kad navrši 60 godina života </w:t>
      </w:r>
      <w:r>
        <w:rPr>
          <w:rFonts w:cs="Times New Roman"/>
          <w:lang w:val="hr-HR"/>
        </w:rPr>
        <w:t>postupa</w:t>
      </w:r>
      <w:r w:rsidRPr="00C445C1">
        <w:rPr>
          <w:rFonts w:cs="Times New Roman"/>
          <w:lang w:val="hr-HR"/>
        </w:rPr>
        <w:t xml:space="preserve"> se manje povoljno, na temelju njegove dobi, od drugog. Što se tiče zrakoplovnih pilota, neophodno je da oni, između ostalog, posjeduju određene fizičke sposobnosti</w:t>
      </w:r>
      <w:r>
        <w:rPr>
          <w:rFonts w:cs="Times New Roman"/>
          <w:lang w:val="hr-HR"/>
        </w:rPr>
        <w:t>,</w:t>
      </w:r>
      <w:r w:rsidRPr="00C445C1">
        <w:rPr>
          <w:rFonts w:cs="Times New Roman"/>
          <w:lang w:val="hr-HR"/>
        </w:rPr>
        <w:t xml:space="preserve"> u mjeri u kojoj fizički nedostaci u toj profesiji mogu imati značajne posljedice. Također je neporecivo da se te mogućnosti smanjuju s godinama.</w:t>
      </w:r>
      <w:r w:rsidRPr="00C445C1">
        <w:rPr>
          <w:lang w:val="it-IT"/>
        </w:rPr>
        <w:t xml:space="preserve"> </w:t>
      </w:r>
      <w:r w:rsidRPr="00C445C1">
        <w:rPr>
          <w:rFonts w:cs="Times New Roman"/>
          <w:lang w:val="hr-HR"/>
        </w:rPr>
        <w:t>Posjedovanje određenih fizičkih sposobnosti može se smatrati „</w:t>
      </w:r>
      <w:r w:rsidRPr="00C445C1">
        <w:rPr>
          <w:rFonts w:cs="Times New Roman"/>
          <w:i/>
          <w:iCs/>
          <w:lang w:val="hr-HR"/>
        </w:rPr>
        <w:t>istinskim i odlučujućim profesionalnim zahtjevom</w:t>
      </w:r>
      <w:r w:rsidRPr="00C445C1">
        <w:rPr>
          <w:rFonts w:cs="Times New Roman"/>
          <w:lang w:val="hr-HR"/>
        </w:rPr>
        <w:t xml:space="preserve">“, u smislu članka 4. stavka 1. FED-a, za </w:t>
      </w:r>
      <w:r>
        <w:rPr>
          <w:rFonts w:cs="Times New Roman"/>
          <w:lang w:val="hr-HR"/>
        </w:rPr>
        <w:t>rad kao</w:t>
      </w:r>
      <w:r w:rsidRPr="00C445C1">
        <w:rPr>
          <w:rFonts w:cs="Times New Roman"/>
          <w:lang w:val="hr-HR"/>
        </w:rPr>
        <w:t xml:space="preserve"> pilot zrakoplovne tvrtke i da je posjedovanje takvih sposobnosti povezano s godinama. Sud Europske unije utvrdio </w:t>
      </w:r>
      <w:r w:rsidR="005E02DE">
        <w:rPr>
          <w:rFonts w:cs="Times New Roman"/>
          <w:lang w:val="hr-HR"/>
        </w:rPr>
        <w:t xml:space="preserve">je </w:t>
      </w:r>
      <w:r w:rsidRPr="00C445C1">
        <w:rPr>
          <w:rFonts w:cs="Times New Roman"/>
          <w:lang w:val="hr-HR"/>
        </w:rPr>
        <w:t xml:space="preserve">da je takva odredba nužna, naveo je da se </w:t>
      </w:r>
      <w:r w:rsidR="005E02DE">
        <w:rPr>
          <w:rFonts w:cs="Times New Roman"/>
          <w:lang w:val="hr-HR"/>
        </w:rPr>
        <w:t>u</w:t>
      </w:r>
      <w:r w:rsidRPr="00C445C1">
        <w:rPr>
          <w:rFonts w:cs="Times New Roman"/>
          <w:lang w:val="hr-HR"/>
        </w:rPr>
        <w:t xml:space="preserve"> utvrđivanju dobne granice od 60 godina </w:t>
      </w:r>
      <w:r w:rsidR="005E02DE">
        <w:rPr>
          <w:rFonts w:cs="Times New Roman"/>
          <w:lang w:val="hr-HR"/>
        </w:rPr>
        <w:t>za</w:t>
      </w:r>
      <w:r w:rsidRPr="00C445C1">
        <w:rPr>
          <w:rFonts w:cs="Times New Roman"/>
          <w:lang w:val="hr-HR"/>
        </w:rPr>
        <w:t xml:space="preserve"> koj</w:t>
      </w:r>
      <w:r w:rsidR="005E02DE">
        <w:rPr>
          <w:rFonts w:cs="Times New Roman"/>
          <w:lang w:val="hr-HR"/>
        </w:rPr>
        <w:t>u</w:t>
      </w:r>
      <w:r w:rsidRPr="00C445C1">
        <w:rPr>
          <w:rFonts w:cs="Times New Roman"/>
          <w:lang w:val="hr-HR"/>
        </w:rPr>
        <w:t xml:space="preserve"> se smatra da zrakoplovni piloti koji spadaju u Kolektivni ugovor više nemaju fizičke sposobnosti za obavljanje svoje profesionalne djelatnosti. Istodobno, nacionalno i međunarodno zakonodavstvo dozvoljava obavljanje te djelatnosti, pod određenim uvjetima, do 65. godine života, </w:t>
      </w:r>
      <w:r w:rsidR="005E02DE">
        <w:rPr>
          <w:rFonts w:cs="Times New Roman"/>
          <w:lang w:val="hr-HR"/>
        </w:rPr>
        <w:t xml:space="preserve">a </w:t>
      </w:r>
      <w:r w:rsidRPr="00C445C1">
        <w:rPr>
          <w:rFonts w:cs="Times New Roman"/>
          <w:lang w:val="hr-HR"/>
        </w:rPr>
        <w:t xml:space="preserve">socijalni partneri nametnuli su tim pilotima </w:t>
      </w:r>
      <w:r w:rsidR="005E02DE" w:rsidRPr="00C445C1">
        <w:rPr>
          <w:rFonts w:cs="Times New Roman"/>
          <w:lang w:val="hr-HR"/>
        </w:rPr>
        <w:t>nerazmjeran</w:t>
      </w:r>
      <w:r w:rsidRPr="00C445C1">
        <w:rPr>
          <w:rFonts w:cs="Times New Roman"/>
          <w:lang w:val="hr-HR"/>
        </w:rPr>
        <w:t xml:space="preserve"> zahtjev u smislu članka 4. stavka 1. FED-a. Stoga je </w:t>
      </w:r>
      <w:r w:rsidR="005E02DE">
        <w:rPr>
          <w:rFonts w:cs="Times New Roman"/>
          <w:lang w:val="hr-HR"/>
        </w:rPr>
        <w:t xml:space="preserve">Sud </w:t>
      </w:r>
      <w:r w:rsidRPr="00C445C1">
        <w:rPr>
          <w:rFonts w:cs="Times New Roman"/>
          <w:lang w:val="hr-HR"/>
        </w:rPr>
        <w:t>zaključio da sigurnost zračnog prometa ne predstavlja legitimni cilj u smislu te odredbe.</w:t>
      </w:r>
    </w:p>
    <w:p w14:paraId="50A63F17" w14:textId="77777777" w:rsidR="00C445C1" w:rsidRPr="003A163E" w:rsidRDefault="00C445C1" w:rsidP="00CF4831">
      <w:pPr>
        <w:rPr>
          <w:rFonts w:cs="Times New Roman"/>
          <w:lang w:val="hr-HR"/>
        </w:rPr>
      </w:pPr>
    </w:p>
    <w:p w14:paraId="185C254F" w14:textId="77777777" w:rsidR="00550364" w:rsidRPr="00B43165" w:rsidRDefault="00550364" w:rsidP="00CF4831">
      <w:pPr>
        <w:rPr>
          <w:rFonts w:cs="Times New Roman"/>
          <w:lang w:val="hr-HR"/>
        </w:rPr>
      </w:pPr>
    </w:p>
    <w:p w14:paraId="59D62283" w14:textId="7E10682B" w:rsidR="00CB5E69" w:rsidRPr="00B43165" w:rsidRDefault="006054CD" w:rsidP="002E0BF1">
      <w:pPr>
        <w:pStyle w:val="Heading2"/>
        <w:rPr>
          <w:rFonts w:ascii="Times New Roman" w:hAnsi="Times New Roman" w:cs="Times New Roman"/>
          <w:color w:val="auto"/>
          <w:lang w:val="hr-HR"/>
        </w:rPr>
      </w:pPr>
      <w:r w:rsidRPr="00B43165">
        <w:rPr>
          <w:rFonts w:ascii="Times New Roman" w:hAnsi="Times New Roman" w:cs="Times New Roman"/>
          <w:color w:val="auto"/>
          <w:lang w:val="hr-HR"/>
        </w:rPr>
        <w:lastRenderedPageBreak/>
        <w:t xml:space="preserve">Plaća </w:t>
      </w:r>
    </w:p>
    <w:p w14:paraId="0B0D3B7D" w14:textId="1A4A1208" w:rsidR="006054CD" w:rsidRPr="006054CD" w:rsidRDefault="006054CD" w:rsidP="006054CD">
      <w:pPr>
        <w:rPr>
          <w:rFonts w:cs="Times New Roman"/>
          <w:lang w:val="hr-HR"/>
        </w:rPr>
      </w:pPr>
      <w:r w:rsidRPr="006054CD">
        <w:rPr>
          <w:rFonts w:cs="Times New Roman"/>
          <w:lang w:val="hr-HR"/>
        </w:rPr>
        <w:t xml:space="preserve">Da bi smanjili troškove zaposlenja, poslodavci će možda morati smanjiti plaću zaposlenicima koji tek ulaze u ustanovu u usporedbi s onima koji su ranije angažirani. Novi uvjeti nagrađivanja ne temelje se na kriteriju koji je neraskidivo ili neizravno povezan sa dobom poslodavaca, jer se </w:t>
      </w:r>
      <w:r>
        <w:rPr>
          <w:rFonts w:cs="Times New Roman"/>
          <w:lang w:val="hr-HR"/>
        </w:rPr>
        <w:t>netko</w:t>
      </w:r>
      <w:r w:rsidRPr="006054CD">
        <w:rPr>
          <w:rFonts w:cs="Times New Roman"/>
          <w:lang w:val="hr-HR"/>
        </w:rPr>
        <w:t xml:space="preserve"> može odlučiti prijaviti se za to mjesto u bilo kojem trenutku tijekom karijere; stoga se ne može smatrati da takva nova pravila uspostavljaju različito postupanje na temelju dobi. Mjera koja od određenog datuma predviđa prijavu za zapošljavanje novih zaposlenika na ljestvici plaća i klasifikaciju na toj ljestvici koja je manje povoljna od one koja se primjenjuje</w:t>
      </w:r>
      <w:r>
        <w:rPr>
          <w:rFonts w:cs="Times New Roman"/>
          <w:lang w:val="hr-HR"/>
        </w:rPr>
        <w:t xml:space="preserve"> </w:t>
      </w:r>
      <w:r w:rsidRPr="006054CD">
        <w:rPr>
          <w:rFonts w:cs="Times New Roman"/>
          <w:lang w:val="hr-HR"/>
        </w:rPr>
        <w:t>na zaposlenike koji su angažirani prije toga datum</w:t>
      </w:r>
      <w:r>
        <w:rPr>
          <w:rFonts w:cs="Times New Roman"/>
          <w:lang w:val="hr-HR"/>
        </w:rPr>
        <w:t>a</w:t>
      </w:r>
      <w:r w:rsidRPr="006054CD">
        <w:rPr>
          <w:rFonts w:cs="Times New Roman"/>
          <w:lang w:val="hr-HR"/>
        </w:rPr>
        <w:t xml:space="preserve"> ne predstavlja neizravnu diskriminaciju na temelju dobi u smislu te odredbe</w:t>
      </w:r>
      <w:r w:rsidR="00CD70B9" w:rsidRPr="00CD70B9">
        <w:rPr>
          <w:rFonts w:cs="Times New Roman"/>
          <w:lang w:val="hr-HR"/>
        </w:rPr>
        <w:t>.</w:t>
      </w:r>
      <w:r w:rsidR="00CD70B9" w:rsidRPr="00DE027A">
        <w:rPr>
          <w:rStyle w:val="FootnoteReference"/>
          <w:rFonts w:cs="Times New Roman"/>
        </w:rPr>
        <w:footnoteReference w:id="19"/>
      </w:r>
    </w:p>
    <w:p w14:paraId="01FD9589" w14:textId="7E1C54A4" w:rsidR="006054CD" w:rsidRPr="006054CD" w:rsidRDefault="006054CD" w:rsidP="006054CD">
      <w:pPr>
        <w:rPr>
          <w:rFonts w:cs="Times New Roman"/>
          <w:lang w:val="hr-HR"/>
        </w:rPr>
      </w:pPr>
      <w:r w:rsidRPr="006054CD">
        <w:rPr>
          <w:rFonts w:cs="Times New Roman"/>
          <w:lang w:val="hr-HR"/>
        </w:rPr>
        <w:t>Treba napomenuti da, što se tiče opravdanosti izravne diskriminacije, bilo koji argument koji navodi povećanje financijskog tereta i moguće administrativne poteškoće, u načelu ne može opravdati nepoštivanje obveza koje proizlaze iz zabrane diskriminacije na temelju dobi.</w:t>
      </w:r>
      <w:r w:rsidR="00CD70B9" w:rsidRPr="00DE027A">
        <w:rPr>
          <w:rStyle w:val="FootnoteReference"/>
          <w:rFonts w:cs="Times New Roman"/>
        </w:rPr>
        <w:footnoteReference w:id="20"/>
      </w:r>
    </w:p>
    <w:p w14:paraId="5E98C279" w14:textId="77777777" w:rsidR="00044FB8" w:rsidRPr="00B43165" w:rsidRDefault="00044FB8" w:rsidP="00CB5E69">
      <w:pPr>
        <w:rPr>
          <w:rFonts w:cs="Times New Roman"/>
          <w:lang w:val="hr-HR"/>
        </w:rPr>
      </w:pPr>
    </w:p>
    <w:p w14:paraId="5AA7DB78" w14:textId="17C2D2EE" w:rsidR="0066697F" w:rsidRPr="008D741C" w:rsidRDefault="00CD70B9" w:rsidP="002E0BF1">
      <w:pPr>
        <w:pStyle w:val="Heading2"/>
        <w:rPr>
          <w:rFonts w:ascii="Times New Roman" w:hAnsi="Times New Roman" w:cs="Times New Roman"/>
          <w:color w:val="auto"/>
          <w:lang w:val="hr-HR"/>
        </w:rPr>
      </w:pPr>
      <w:r w:rsidRPr="008D741C">
        <w:rPr>
          <w:rFonts w:ascii="Times New Roman" w:hAnsi="Times New Roman" w:cs="Times New Roman"/>
          <w:color w:val="auto"/>
          <w:lang w:val="hr-HR"/>
        </w:rPr>
        <w:t xml:space="preserve">Otpremnina </w:t>
      </w:r>
    </w:p>
    <w:p w14:paraId="7B151180" w14:textId="0DAE7BFC" w:rsidR="00CD70B9" w:rsidRPr="008D741C" w:rsidRDefault="00CD70B9" w:rsidP="00CD70B9">
      <w:pPr>
        <w:rPr>
          <w:rFonts w:cs="Times New Roman"/>
          <w:lang w:val="hr-HR"/>
        </w:rPr>
      </w:pPr>
      <w:r w:rsidRPr="008D741C">
        <w:rPr>
          <w:rFonts w:cs="Times New Roman"/>
          <w:lang w:val="hr-HR"/>
        </w:rPr>
        <w:t xml:space="preserve">U slučaju </w:t>
      </w:r>
      <w:r w:rsidRPr="008D741C">
        <w:rPr>
          <w:rFonts w:cs="Times New Roman"/>
          <w:i/>
          <w:iCs/>
          <w:lang w:val="hr-HR"/>
        </w:rPr>
        <w:t>Andersen</w:t>
      </w:r>
      <w:r w:rsidRPr="008D741C">
        <w:rPr>
          <w:rFonts w:cs="Times New Roman"/>
          <w:lang w:val="hr-HR"/>
        </w:rPr>
        <w:t xml:space="preserve"> čiji je predmet bila usporediva odredba (dobna granica za isplatu otpremnine), Sud je uzeo u obzir moraju li radnici prihvatiti smanjenja prijevremene mirovine i druga smanjenja dohotka u usporedbi s maksimalnim iznosom mirovine koju bi inače mogli imati</w:t>
      </w:r>
      <w:r w:rsidRPr="008D741C">
        <w:rPr>
          <w:rStyle w:val="FootnoteReference"/>
          <w:rFonts w:cs="Times New Roman"/>
          <w:lang w:val="hr-HR"/>
        </w:rPr>
        <w:footnoteReference w:id="21"/>
      </w:r>
      <w:r w:rsidRPr="008D741C">
        <w:rPr>
          <w:rFonts w:cs="Times New Roman"/>
          <w:lang w:val="hr-HR"/>
        </w:rPr>
        <w:t xml:space="preserve">. Stoga je mjera imala za cilj osigurati, pod načelom proporcionalnosti i potrebe za suzbijanjem zloporabe, da se otpremnina isplaćuje samo onima kojima je namijenjena, naime onima koji namjeravaju nastaviti raditi, ali će zbog svoje dobi, općenito naići na više poteškoća u pronalaženju novog posla. Tvrdi se da je tom mjerom spriječeno da poslodavci budu prisiljeni dodijeliti otpremninu osobama kojima će također isplaćivati ​​starosnu mirovinu nakon prestanka radnog odnosa. Iako države članice imaju široko diskrecijsko pravo u vezi s </w:t>
      </w:r>
      <w:proofErr w:type="spellStart"/>
      <w:r w:rsidRPr="008D741C">
        <w:rPr>
          <w:rFonts w:cs="Times New Roman"/>
          <w:i/>
          <w:iCs/>
          <w:lang w:val="hr-HR"/>
        </w:rPr>
        <w:t>Palaciom</w:t>
      </w:r>
      <w:proofErr w:type="spellEnd"/>
      <w:r w:rsidRPr="008D741C">
        <w:rPr>
          <w:rFonts w:cs="Times New Roman"/>
          <w:i/>
          <w:iCs/>
          <w:lang w:val="hr-HR"/>
        </w:rPr>
        <w:t>,</w:t>
      </w:r>
      <w:r w:rsidRPr="008D741C">
        <w:rPr>
          <w:rFonts w:cs="Times New Roman"/>
          <w:lang w:val="hr-HR"/>
        </w:rPr>
        <w:t xml:space="preserve"> to diskrecijsko pravo "</w:t>
      </w:r>
      <w:r w:rsidRPr="008D741C">
        <w:rPr>
          <w:rFonts w:cs="Times New Roman"/>
          <w:i/>
          <w:iCs/>
          <w:lang w:val="hr-HR"/>
        </w:rPr>
        <w:t>ne smije imati učinak narušavanja načela nediskriminacije na temelju dobi</w:t>
      </w:r>
      <w:r w:rsidRPr="008D741C">
        <w:rPr>
          <w:rFonts w:cs="Times New Roman"/>
          <w:lang w:val="hr-HR"/>
        </w:rPr>
        <w:t xml:space="preserve">". Smatralo se da je zakonodavno pravilo </w:t>
      </w:r>
      <w:r w:rsidR="008D741C" w:rsidRPr="008D741C">
        <w:rPr>
          <w:rFonts w:cs="Times New Roman"/>
          <w:lang w:val="hr-HR"/>
        </w:rPr>
        <w:t>nerazmjerno</w:t>
      </w:r>
      <w:r w:rsidRPr="008D741C">
        <w:rPr>
          <w:rFonts w:cs="Times New Roman"/>
          <w:lang w:val="hr-HR"/>
        </w:rPr>
        <w:t xml:space="preserve"> jer je prelazilo ono što je bilo potrebno da bi se postigao njegov cilj</w:t>
      </w:r>
      <w:r w:rsidR="008D741C">
        <w:rPr>
          <w:rFonts w:cs="Times New Roman"/>
          <w:lang w:val="hr-HR"/>
        </w:rPr>
        <w:t>,</w:t>
      </w:r>
      <w:r w:rsidRPr="008D741C">
        <w:rPr>
          <w:rFonts w:cs="Times New Roman"/>
          <w:lang w:val="hr-HR"/>
        </w:rPr>
        <w:t xml:space="preserve"> zadržavanje otpremnina i onim zaposlenicima koji nisu željeli otići u mirovinu kad ispunjavaju uvjete. Sukladno tome, smatrano je da je ovo dansko zakonodavstvo u suprotnosti sa zabranom dobne diskriminacije. Međutim, Sud nastoji primijeniti lakši standard nadzora nacionalnog zakonodavstva koje potiče umirovljenje sa 65 ili 68 godina, oslanjajući se uglavnom na presudu </w:t>
      </w:r>
      <w:proofErr w:type="spellStart"/>
      <w:r w:rsidRPr="008D741C">
        <w:rPr>
          <w:rFonts w:cs="Times New Roman"/>
          <w:i/>
          <w:iCs/>
          <w:lang w:val="hr-HR"/>
        </w:rPr>
        <w:t>Palacios</w:t>
      </w:r>
      <w:proofErr w:type="spellEnd"/>
      <w:r w:rsidRPr="008D741C">
        <w:rPr>
          <w:rFonts w:cs="Times New Roman"/>
          <w:i/>
          <w:iCs/>
          <w:lang w:val="hr-HR"/>
        </w:rPr>
        <w:t xml:space="preserve"> de la Villa</w:t>
      </w:r>
      <w:r w:rsidRPr="008D741C">
        <w:rPr>
          <w:rFonts w:cs="Times New Roman"/>
          <w:lang w:val="hr-HR"/>
        </w:rPr>
        <w:t>. .</w:t>
      </w:r>
      <w:r w:rsidRPr="008D741C">
        <w:rPr>
          <w:rStyle w:val="FootnoteReference"/>
          <w:rFonts w:cs="Times New Roman"/>
          <w:lang w:val="hr-HR"/>
        </w:rPr>
        <w:footnoteReference w:id="22"/>
      </w:r>
    </w:p>
    <w:p w14:paraId="1E81662B" w14:textId="77777777" w:rsidR="00CD70B9" w:rsidRPr="00B43165" w:rsidRDefault="00CD70B9" w:rsidP="00EE5934">
      <w:pPr>
        <w:rPr>
          <w:rFonts w:cs="Times New Roman"/>
          <w:lang w:val="hr-HR"/>
        </w:rPr>
      </w:pPr>
    </w:p>
    <w:p w14:paraId="09DE7730" w14:textId="77777777" w:rsidR="00CF4831" w:rsidRPr="00B43165" w:rsidRDefault="00CF4831" w:rsidP="00CF4831">
      <w:pPr>
        <w:rPr>
          <w:rFonts w:cs="Times New Roman"/>
          <w:lang w:val="hr-HR"/>
        </w:rPr>
      </w:pPr>
    </w:p>
    <w:p w14:paraId="2BEAA421" w14:textId="3EDEC3DA" w:rsidR="00E621D2" w:rsidRPr="008D741C" w:rsidRDefault="008D741C" w:rsidP="00DC4A9A">
      <w:pPr>
        <w:rPr>
          <w:rFonts w:cs="Times New Roman"/>
          <w:lang w:val="hr-HR"/>
        </w:rPr>
      </w:pPr>
      <w:r w:rsidRPr="008D741C">
        <w:rPr>
          <w:rFonts w:cs="Times New Roman"/>
          <w:lang w:val="hr-HR"/>
        </w:rPr>
        <w:lastRenderedPageBreak/>
        <w:t xml:space="preserve">Zaključak </w:t>
      </w:r>
    </w:p>
    <w:p w14:paraId="76D491FE" w14:textId="2D057B6A" w:rsidR="008D741C" w:rsidRDefault="008D741C" w:rsidP="00DC4A9A">
      <w:pPr>
        <w:rPr>
          <w:rFonts w:cs="Times New Roman"/>
          <w:lang w:val="hr-HR"/>
        </w:rPr>
      </w:pPr>
      <w:r w:rsidRPr="008D741C">
        <w:rPr>
          <w:rFonts w:cs="Times New Roman"/>
          <w:lang w:val="hr-HR"/>
        </w:rPr>
        <w:t>Socijalni partneri uživaju široko diskrecijsko pravo u svom izboru, oni su u mogućnosti slijediti određeni cilj na polju socijalne politike i politike zapošljavanja, kao i u definiranju mjera koje ga mogu postići. Štoviše, socijalni partneri, kroz kolektivni ugovor, mogu se odlučiti za primjenu nacionalnog mehanizma zapošljavanja ili socijalne politike. Stoga su sposobni stvoriti fleksibilno regulatorno okruženje koje udovoljava točnim potrebama određenog radnog mjesta, kao i specifičnim značajkama dotičnog posla.</w:t>
      </w:r>
    </w:p>
    <w:p w14:paraId="465C5877" w14:textId="11D86165" w:rsidR="008D741C" w:rsidRDefault="000C48F7" w:rsidP="00DC4A9A">
      <w:pPr>
        <w:rPr>
          <w:rFonts w:cs="Times New Roman"/>
          <w:i/>
          <w:iCs/>
          <w:lang w:val="hr-HR"/>
        </w:rPr>
      </w:pPr>
      <w:r w:rsidRPr="000C48F7">
        <w:rPr>
          <w:rFonts w:cs="Times New Roman"/>
          <w:lang w:val="hr-HR"/>
        </w:rPr>
        <w:t xml:space="preserve">Što se tiče opravdanosti, koncept objektivnih razloga zahtijeva da se utvrdi da </w:t>
      </w:r>
      <w:r>
        <w:rPr>
          <w:rFonts w:cs="Times New Roman"/>
          <w:lang w:val="hr-HR"/>
        </w:rPr>
        <w:t xml:space="preserve">je </w:t>
      </w:r>
      <w:r w:rsidRPr="000C48F7">
        <w:rPr>
          <w:rFonts w:cs="Times New Roman"/>
          <w:lang w:val="hr-HR"/>
        </w:rPr>
        <w:t>nejednak tretman opravdava</w:t>
      </w:r>
      <w:r>
        <w:rPr>
          <w:rFonts w:cs="Times New Roman"/>
          <w:lang w:val="hr-HR"/>
        </w:rPr>
        <w:t>n</w:t>
      </w:r>
      <w:r w:rsidRPr="000C48F7">
        <w:rPr>
          <w:rFonts w:cs="Times New Roman"/>
          <w:lang w:val="hr-HR"/>
        </w:rPr>
        <w:t xml:space="preserve"> postojanjem preciznih i konkretnih čimbenika, koji karakteriziraju uvjet zaposlenja na koji se odnosi, u određenom kontekstu u kojem se događa i temelji se na objektivnim, transparentnim kriteriji</w:t>
      </w:r>
      <w:r>
        <w:rPr>
          <w:rFonts w:cs="Times New Roman"/>
          <w:lang w:val="hr-HR"/>
        </w:rPr>
        <w:t>ma</w:t>
      </w:r>
      <w:r w:rsidRPr="000C48F7">
        <w:rPr>
          <w:rFonts w:cs="Times New Roman"/>
          <w:lang w:val="hr-HR"/>
        </w:rPr>
        <w:t>; tako da se može utvrditi zadovoljava li neravnopravan tretman istinsku potrebu, je li prikladan za postizanje cilja i potreban u tu svrhu. Ti čimbenici mogu posebno rezultirati iz specifične prirode zadataka ili ostvarivanja legitimnog cilja socijalne politike. Treba razlikovati osnovu same diskriminacije i osobine povezane s njom. Upravo potonje mora predstavljati istinski i presudan profesionalni zahtjev da bi se opravdala razlika u postupanju, a ne osnov</w:t>
      </w:r>
      <w:r>
        <w:rPr>
          <w:rFonts w:cs="Times New Roman"/>
          <w:lang w:val="hr-HR"/>
        </w:rPr>
        <w:t>u</w:t>
      </w:r>
      <w:r w:rsidRPr="000C48F7">
        <w:rPr>
          <w:rFonts w:cs="Times New Roman"/>
          <w:lang w:val="hr-HR"/>
        </w:rPr>
        <w:t xml:space="preserve"> diskriminacije </w:t>
      </w:r>
      <w:r w:rsidRPr="000C48F7">
        <w:rPr>
          <w:rFonts w:cs="Times New Roman"/>
          <w:i/>
          <w:iCs/>
          <w:lang w:val="hr-HR"/>
        </w:rPr>
        <w:t>per se.</w:t>
      </w:r>
    </w:p>
    <w:p w14:paraId="351D1BC9" w14:textId="75FC20A9" w:rsidR="000C48F7" w:rsidRPr="000C48F7" w:rsidRDefault="000C48F7" w:rsidP="00DC4A9A">
      <w:pPr>
        <w:rPr>
          <w:rFonts w:cs="Times New Roman"/>
          <w:lang w:val="hr-HR"/>
        </w:rPr>
      </w:pPr>
      <w:r w:rsidRPr="000C48F7">
        <w:rPr>
          <w:rFonts w:cs="Times New Roman"/>
          <w:lang w:val="hr-HR"/>
        </w:rPr>
        <w:t xml:space="preserve">Općenito, u slučaju dobne diskriminacije, politike uvedene kolektivnim ugovorom mogu se smatrati legitimnim čimbenikom. Međutim, to ne znači da takve klauzule u kolektivnom ugovoru ne moraju ispunjavati uvjete utvrđene člankom 6. stavkom 1. FED-a. Direktiva je imala za cilj zaštititi dostojanstvo ljudi štiteći ih od </w:t>
      </w:r>
      <w:r>
        <w:rPr>
          <w:rFonts w:cs="Times New Roman"/>
          <w:lang w:val="hr-HR"/>
        </w:rPr>
        <w:t>generacijskih predrasuda</w:t>
      </w:r>
      <w:r w:rsidRPr="000C48F7">
        <w:rPr>
          <w:rFonts w:cs="Times New Roman"/>
          <w:lang w:val="hr-HR"/>
        </w:rPr>
        <w:t xml:space="preserve"> i drugih oblika </w:t>
      </w:r>
      <w:proofErr w:type="spellStart"/>
      <w:r w:rsidRPr="000C48F7">
        <w:rPr>
          <w:rFonts w:cs="Times New Roman"/>
          <w:lang w:val="hr-HR"/>
        </w:rPr>
        <w:t>stereotipizacije</w:t>
      </w:r>
      <w:proofErr w:type="spellEnd"/>
      <w:r w:rsidRPr="000C48F7">
        <w:rPr>
          <w:rFonts w:cs="Times New Roman"/>
          <w:lang w:val="hr-HR"/>
        </w:rPr>
        <w:t>. Starosna diskriminacija šteti dostojanstvu čovjeka ili autonomiji osobe. Široka slobodna procjena socijalnih partnera temelji se na pretpostavci da je dob prolazna osobna karakteristika. Međutim, mora se imati na umu da socijalni partneri moraju uzeti u obzir interese svih dobnih skupina</w:t>
      </w:r>
      <w:r>
        <w:rPr>
          <w:rFonts w:cs="Times New Roman"/>
          <w:lang w:val="hr-HR"/>
        </w:rPr>
        <w:t xml:space="preserve">, </w:t>
      </w:r>
      <w:r w:rsidRPr="000C48F7">
        <w:rPr>
          <w:rFonts w:cs="Times New Roman"/>
          <w:lang w:val="hr-HR"/>
        </w:rPr>
        <w:t>umjesto kategorizacije na temelju stereotipa, a kolektivni ugovor mora prilagoditi razlike koje se odnose na pojedine osnove. Na taj način socijalni partneri postaju sposobni stvoriti zdravu ravnotežu između interesa poslodavca i zaposlenika i pružiti učinkovitu zaštitu zaposlenicima svih dobnih skupina.</w:t>
      </w:r>
    </w:p>
    <w:p w14:paraId="49C911C4" w14:textId="77777777" w:rsidR="002E0BF1" w:rsidRPr="00B43165" w:rsidRDefault="002E0BF1" w:rsidP="00CF4831">
      <w:pPr>
        <w:rPr>
          <w:rFonts w:cs="Times New Roman"/>
          <w:lang w:val="hr-HR"/>
        </w:rPr>
      </w:pPr>
    </w:p>
    <w:p w14:paraId="41BB5C27" w14:textId="77777777" w:rsidR="002E0BF1" w:rsidRPr="00B43165" w:rsidRDefault="002E0BF1" w:rsidP="00CF4831">
      <w:pPr>
        <w:rPr>
          <w:rFonts w:cs="Times New Roman"/>
          <w:lang w:val="hr-HR"/>
        </w:rPr>
      </w:pPr>
    </w:p>
    <w:p w14:paraId="493430F1" w14:textId="77777777" w:rsidR="002E0BF1" w:rsidRPr="00B43165" w:rsidRDefault="002E0BF1" w:rsidP="00CF4831">
      <w:pPr>
        <w:rPr>
          <w:rFonts w:cs="Times New Roman"/>
          <w:lang w:val="hr-HR"/>
        </w:rPr>
      </w:pPr>
    </w:p>
    <w:sectPr w:rsidR="002E0BF1" w:rsidRPr="00B43165" w:rsidSect="008811C2">
      <w:pgSz w:w="11906" w:h="16838"/>
      <w:pgMar w:top="1417" w:right="1417" w:bottom="1417" w:left="1417" w:header="708" w:footer="316"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69ECD" w14:textId="77777777" w:rsidR="0016202C" w:rsidRDefault="0016202C">
      <w:pPr>
        <w:spacing w:after="0" w:line="240" w:lineRule="auto"/>
      </w:pPr>
      <w:r>
        <w:separator/>
      </w:r>
    </w:p>
  </w:endnote>
  <w:endnote w:type="continuationSeparator" w:id="0">
    <w:p w14:paraId="6C45D93A" w14:textId="77777777" w:rsidR="0016202C" w:rsidRDefault="00162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718 Medium">
    <w:altName w:val="Trebuchet MS"/>
    <w:charset w:val="00"/>
    <w:family w:val="auto"/>
    <w:pitch w:val="variable"/>
    <w:sig w:usb0="00000001" w:usb1="0000044B" w:usb2="00000000" w:usb3="00000000" w:csb0="00000093"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14366" w14:textId="1D57486D" w:rsidR="007662CA" w:rsidRDefault="0016202C">
    <w:pPr>
      <w:pStyle w:val="Footer"/>
    </w:pPr>
    <w:sdt>
      <w:sdtPr>
        <w:id w:val="1563763121"/>
        <w:placeholder>
          <w:docPart w:val="2A370882863EBF469C6EDE41242052B1"/>
        </w:placeholder>
        <w:temporary/>
        <w:showingPlcHdr/>
      </w:sdtPr>
      <w:sdtEndPr/>
      <w:sdtContent>
        <w:r w:rsidR="007662CA">
          <w:t>[Type text]</w:t>
        </w:r>
      </w:sdtContent>
    </w:sdt>
    <w:r w:rsidR="007662CA">
      <w:ptab w:relativeTo="margin" w:alignment="center" w:leader="none"/>
    </w:r>
    <w:sdt>
      <w:sdtPr>
        <w:id w:val="-1095780960"/>
        <w:placeholder>
          <w:docPart w:val="8719FB57BBE2F04BA060DE95B1B2DDEA"/>
        </w:placeholder>
        <w:temporary/>
        <w:showingPlcHdr/>
      </w:sdtPr>
      <w:sdtEndPr/>
      <w:sdtContent>
        <w:r w:rsidR="007662CA">
          <w:t>[Type text]</w:t>
        </w:r>
      </w:sdtContent>
    </w:sdt>
    <w:r w:rsidR="007662CA">
      <w:ptab w:relativeTo="margin" w:alignment="right" w:leader="none"/>
    </w:r>
    <w:sdt>
      <w:sdtPr>
        <w:id w:val="429779624"/>
        <w:placeholder>
          <w:docPart w:val="019BE8E96573014D9F544DD392C5FAE3"/>
        </w:placeholder>
        <w:temporary/>
        <w:showingPlcHdr/>
      </w:sdtPr>
      <w:sdtEndPr/>
      <w:sdtContent>
        <w:r w:rsidR="007662CA">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100"/>
    </w:tblGrid>
    <w:tr w:rsidR="007662CA" w:rsidRPr="00C550CE" w14:paraId="63E6F6DB" w14:textId="77777777" w:rsidTr="009002D5">
      <w:trPr>
        <w:trHeight w:val="573"/>
      </w:trPr>
      <w:tc>
        <w:tcPr>
          <w:tcW w:w="8188" w:type="dxa"/>
          <w:tcBorders>
            <w:top w:val="nil"/>
            <w:left w:val="nil"/>
            <w:bottom w:val="nil"/>
            <w:right w:val="nil"/>
          </w:tcBorders>
          <w:shd w:val="clear" w:color="auto" w:fill="auto"/>
        </w:tcPr>
        <w:p w14:paraId="1DC759FA" w14:textId="77777777" w:rsidR="007662CA" w:rsidRPr="00C550CE" w:rsidRDefault="007662CA" w:rsidP="009002D5">
          <w:pPr>
            <w:widowControl w:val="0"/>
            <w:autoSpaceDE w:val="0"/>
            <w:autoSpaceDN w:val="0"/>
            <w:adjustRightInd w:val="0"/>
            <w:spacing w:after="170" w:line="288" w:lineRule="auto"/>
            <w:textAlignment w:val="center"/>
            <w:rPr>
              <w:color w:val="000000"/>
              <w:sz w:val="14"/>
              <w:szCs w:val="14"/>
            </w:rPr>
          </w:pPr>
          <w:r w:rsidRPr="00C550CE">
            <w:rPr>
              <w:color w:val="000000"/>
              <w:sz w:val="14"/>
              <w:szCs w:val="14"/>
            </w:rPr>
            <w:br/>
          </w:r>
          <w:hyperlink r:id="rId1" w:history="1">
            <w:r w:rsidRPr="00C550CE">
              <w:rPr>
                <w:rStyle w:val="Hyperlink"/>
                <w:sz w:val="14"/>
                <w:szCs w:val="14"/>
              </w:rPr>
              <w:t>www.agegap.eu</w:t>
            </w:r>
          </w:hyperlink>
          <w:r w:rsidRPr="00C550CE">
            <w:rPr>
              <w:color w:val="000000"/>
              <w:sz w:val="14"/>
              <w:szCs w:val="14"/>
            </w:rPr>
            <w:t xml:space="preserve">                                                                                                 The AGEGAP project is co-funded by the European Commission</w:t>
          </w:r>
        </w:p>
      </w:tc>
      <w:tc>
        <w:tcPr>
          <w:tcW w:w="1100" w:type="dxa"/>
          <w:tcBorders>
            <w:top w:val="nil"/>
            <w:left w:val="nil"/>
            <w:bottom w:val="nil"/>
            <w:right w:val="nil"/>
          </w:tcBorders>
          <w:shd w:val="clear" w:color="auto" w:fill="auto"/>
        </w:tcPr>
        <w:p w14:paraId="03D38020" w14:textId="7A3E80CB" w:rsidR="007662CA" w:rsidRPr="00C550CE" w:rsidRDefault="007662CA" w:rsidP="009002D5">
          <w:pPr>
            <w:spacing w:after="0" w:line="240" w:lineRule="auto"/>
            <w:jc w:val="right"/>
          </w:pPr>
          <w:r>
            <w:rPr>
              <w:noProof/>
              <w:lang w:val="hu-HU" w:eastAsia="hu-HU"/>
            </w:rPr>
            <w:drawing>
              <wp:inline distT="0" distB="0" distL="0" distR="0" wp14:anchorId="3CA4EA90" wp14:editId="5F48785D">
                <wp:extent cx="541655" cy="363855"/>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655" cy="363855"/>
                        </a:xfrm>
                        <a:prstGeom prst="rect">
                          <a:avLst/>
                        </a:prstGeom>
                        <a:noFill/>
                        <a:ln>
                          <a:noFill/>
                        </a:ln>
                      </pic:spPr>
                    </pic:pic>
                  </a:graphicData>
                </a:graphic>
              </wp:inline>
            </w:drawing>
          </w:r>
        </w:p>
      </w:tc>
    </w:tr>
  </w:tbl>
  <w:p w14:paraId="2E992858" w14:textId="77777777" w:rsidR="007662CA" w:rsidRDefault="007662CA" w:rsidP="009002D5">
    <w:pPr>
      <w:pStyle w:val="Footer"/>
      <w:jc w:val="right"/>
    </w:pPr>
  </w:p>
  <w:p w14:paraId="1AB951AA" w14:textId="6AEDB77B" w:rsidR="007662CA" w:rsidRPr="009002D5" w:rsidRDefault="007662CA" w:rsidP="009002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CD4A2" w14:textId="77777777" w:rsidR="0016202C" w:rsidRDefault="0016202C" w:rsidP="00E0634D">
      <w:pPr>
        <w:spacing w:after="0" w:line="240" w:lineRule="auto"/>
      </w:pPr>
      <w:r>
        <w:separator/>
      </w:r>
    </w:p>
  </w:footnote>
  <w:footnote w:type="continuationSeparator" w:id="0">
    <w:p w14:paraId="635D968F" w14:textId="77777777" w:rsidR="0016202C" w:rsidRDefault="0016202C" w:rsidP="00E0634D">
      <w:pPr>
        <w:spacing w:after="0" w:line="240" w:lineRule="auto"/>
      </w:pPr>
      <w:r>
        <w:continuationSeparator/>
      </w:r>
    </w:p>
  </w:footnote>
  <w:footnote w:id="1">
    <w:p w14:paraId="51A85E0B" w14:textId="77777777" w:rsidR="00C80589" w:rsidRPr="00132F6B" w:rsidRDefault="00C80589" w:rsidP="00C80589">
      <w:pPr>
        <w:pStyle w:val="FootnoteText"/>
      </w:pPr>
      <w:r>
        <w:rPr>
          <w:rStyle w:val="FootnoteReference"/>
        </w:rPr>
        <w:footnoteRef/>
      </w:r>
      <w:r>
        <w:t xml:space="preserve"> Council Directive 2000/78/EC of 27 November 2000 establishing a general framework for equal treatment in employment and occupation, OJ L </w:t>
      </w:r>
      <w:proofErr w:type="gramStart"/>
      <w:r>
        <w:t>303 ,</w:t>
      </w:r>
      <w:proofErr w:type="gramEnd"/>
      <w:r>
        <w:t xml:space="preserve"> 02/12/2000 P. 0016 – 0022.</w:t>
      </w:r>
    </w:p>
  </w:footnote>
  <w:footnote w:id="2">
    <w:p w14:paraId="5E9329F7" w14:textId="77777777" w:rsidR="00F730D0" w:rsidRPr="00550364" w:rsidRDefault="00F730D0" w:rsidP="00F730D0">
      <w:pPr>
        <w:pStyle w:val="FootnoteText"/>
        <w:rPr>
          <w:lang w:val="hu-HU"/>
        </w:rPr>
      </w:pPr>
      <w:r>
        <w:rPr>
          <w:rStyle w:val="FootnoteReference"/>
        </w:rPr>
        <w:footnoteRef/>
      </w:r>
      <w:r>
        <w:t xml:space="preserve"> Art. 6(1) Directive 2000/78/EC, also indicated by recital 25 of Directive 2000/78/EC that</w:t>
      </w:r>
      <w:r w:rsidRPr="00F52FF5">
        <w:t xml:space="preserve"> </w:t>
      </w:r>
      <w:r>
        <w:t>the EU legislature recognises the legitimate role of age in many different social policy contexts.</w:t>
      </w:r>
    </w:p>
  </w:footnote>
  <w:footnote w:id="3">
    <w:p w14:paraId="400C421C" w14:textId="77777777" w:rsidR="007662CA" w:rsidRPr="00F52FF5" w:rsidRDefault="007662CA">
      <w:pPr>
        <w:pStyle w:val="FootnoteText"/>
        <w:rPr>
          <w:lang w:val="hu-HU"/>
        </w:rPr>
      </w:pPr>
      <w:r>
        <w:rPr>
          <w:rStyle w:val="FootnoteReference"/>
        </w:rPr>
        <w:footnoteRef/>
      </w:r>
      <w:r>
        <w:t xml:space="preserve"> </w:t>
      </w:r>
      <w:proofErr w:type="spellStart"/>
      <w:r>
        <w:t>Schiek</w:t>
      </w:r>
      <w:proofErr w:type="spellEnd"/>
      <w:r>
        <w:t>, DG (2</w:t>
      </w:r>
      <w:r>
        <w:fldChar w:fldCharType="begin"/>
      </w:r>
      <w:r>
        <w:instrText xml:space="preserve"> REF _Ref55135018 \p </w:instrText>
      </w:r>
      <w:r>
        <w:fldChar w:fldCharType="end"/>
      </w:r>
      <w:r>
        <w:t xml:space="preserve">011). Age Discrimination before the ECJ - Conceptual and Theoretical issues. </w:t>
      </w:r>
      <w:r w:rsidRPr="00F52FF5">
        <w:rPr>
          <w:i/>
        </w:rPr>
        <w:t>Common Market Law Review</w:t>
      </w:r>
      <w:r>
        <w:t>, 48 (3). 777 - 799 (22), 779.</w:t>
      </w:r>
      <w:sdt>
        <w:sdtPr>
          <w:id w:val="-1844543220"/>
          <w:citation/>
        </w:sdtPr>
        <w:sdtEndPr/>
        <w:sdtContent>
          <w:r>
            <w:fldChar w:fldCharType="begin"/>
          </w:r>
          <w:r>
            <w:rPr>
              <w:lang w:val="hu-HU"/>
            </w:rPr>
            <w:instrText xml:space="preserve"> CITATION Schiek2011 \l 1038 </w:instrText>
          </w:r>
          <w:r>
            <w:fldChar w:fldCharType="separate"/>
          </w:r>
          <w:r>
            <w:rPr>
              <w:noProof/>
              <w:lang w:val="hu-HU"/>
            </w:rPr>
            <w:t xml:space="preserve"> (Schiek2011)</w:t>
          </w:r>
          <w:r>
            <w:fldChar w:fldCharType="end"/>
          </w:r>
        </w:sdtContent>
      </w:sdt>
    </w:p>
  </w:footnote>
  <w:footnote w:id="4">
    <w:p w14:paraId="5B2E9E2B" w14:textId="77777777" w:rsidR="00A47139" w:rsidRPr="00B43165" w:rsidRDefault="00A47139" w:rsidP="00A47139">
      <w:pPr>
        <w:pStyle w:val="FootnoteText"/>
      </w:pPr>
      <w:r>
        <w:rPr>
          <w:rStyle w:val="FootnoteReference"/>
        </w:rPr>
        <w:footnoteRef/>
      </w:r>
      <w:r w:rsidRPr="00B43165">
        <w:t xml:space="preserve"> Case C</w:t>
      </w:r>
      <w:r w:rsidRPr="00B43165">
        <w:noBreakHyphen/>
        <w:t xml:space="preserve">144/04 </w:t>
      </w:r>
      <w:r w:rsidRPr="00B43165">
        <w:rPr>
          <w:i/>
          <w:iCs/>
        </w:rPr>
        <w:t>Mangold</w:t>
      </w:r>
      <w:r w:rsidRPr="00B43165">
        <w:t xml:space="preserve"> [2005] ECR I</w:t>
      </w:r>
      <w:r w:rsidRPr="00B43165">
        <w:noBreakHyphen/>
        <w:t>9981, paragraph 63; Case C</w:t>
      </w:r>
      <w:r w:rsidRPr="00B43165">
        <w:rPr>
          <w:rFonts w:ascii="Cambria Math" w:hAnsi="Cambria Math" w:cs="Cambria Math"/>
        </w:rPr>
        <w:t>‑</w:t>
      </w:r>
      <w:r w:rsidRPr="00B43165">
        <w:t xml:space="preserve">411/05, </w:t>
      </w:r>
      <w:r w:rsidRPr="00B43165">
        <w:rPr>
          <w:i/>
        </w:rPr>
        <w:t>Palacios de la Villa</w:t>
      </w:r>
      <w:r w:rsidRPr="00B43165">
        <w:t xml:space="preserve"> [2007] </w:t>
      </w:r>
      <w:r w:rsidRPr="00B43165">
        <w:rPr>
          <w:rStyle w:val="outputecli"/>
        </w:rPr>
        <w:t>EU:C:2007:604, paragraph 68.</w:t>
      </w:r>
    </w:p>
  </w:footnote>
  <w:footnote w:id="5">
    <w:p w14:paraId="0F7DF58E" w14:textId="77777777" w:rsidR="000658EE" w:rsidRPr="003A495D" w:rsidRDefault="000658EE" w:rsidP="000658EE">
      <w:pPr>
        <w:pStyle w:val="FootnoteText"/>
        <w:rPr>
          <w:lang w:val="hu-HU"/>
        </w:rPr>
      </w:pPr>
      <w:r>
        <w:rPr>
          <w:rStyle w:val="FootnoteReference"/>
        </w:rPr>
        <w:footnoteRef/>
      </w:r>
      <w:r w:rsidRPr="003D06AA">
        <w:rPr>
          <w:lang w:val="fr-FR"/>
        </w:rPr>
        <w:t xml:space="preserve"> Case C-271/08, </w:t>
      </w:r>
      <w:r w:rsidRPr="003D06AA">
        <w:rPr>
          <w:i/>
          <w:lang w:val="fr-FR"/>
        </w:rPr>
        <w:t>Commission v. Germany</w:t>
      </w:r>
      <w:r w:rsidRPr="003D06AA">
        <w:rPr>
          <w:lang w:val="fr-FR"/>
        </w:rPr>
        <w:t xml:space="preserve">, </w:t>
      </w:r>
      <w:proofErr w:type="gramStart"/>
      <w:r w:rsidRPr="0027608B">
        <w:rPr>
          <w:rStyle w:val="outputecli"/>
          <w:rFonts w:cs="Times New Roman"/>
          <w:lang w:val="hu-HU"/>
        </w:rPr>
        <w:t>EU:</w:t>
      </w:r>
      <w:proofErr w:type="gramEnd"/>
      <w:r w:rsidRPr="0027608B">
        <w:rPr>
          <w:rStyle w:val="outputecli"/>
          <w:rFonts w:cs="Times New Roman"/>
          <w:lang w:val="hu-HU"/>
        </w:rPr>
        <w:t>C:2010:426,</w:t>
      </w:r>
      <w:r>
        <w:rPr>
          <w:rStyle w:val="outputecli"/>
          <w:rFonts w:cs="Times New Roman"/>
          <w:lang w:val="hu-HU"/>
        </w:rPr>
        <w:t xml:space="preserve"> </w:t>
      </w:r>
      <w:r w:rsidRPr="003D06AA">
        <w:rPr>
          <w:lang w:val="fr-FR"/>
        </w:rPr>
        <w:t xml:space="preserve">para 37; Case C-45/09, </w:t>
      </w:r>
      <w:proofErr w:type="spellStart"/>
      <w:r w:rsidRPr="003D06AA">
        <w:rPr>
          <w:i/>
          <w:lang w:val="fr-FR"/>
        </w:rPr>
        <w:t>Rosenbladt</w:t>
      </w:r>
      <w:proofErr w:type="spellEnd"/>
      <w:r w:rsidRPr="003D06AA">
        <w:rPr>
          <w:lang w:val="fr-FR"/>
        </w:rPr>
        <w:t xml:space="preserve">, </w:t>
      </w:r>
      <w:r w:rsidRPr="0027608B">
        <w:rPr>
          <w:rStyle w:val="outputecliaff"/>
          <w:rFonts w:cs="Times New Roman"/>
          <w:lang w:val="hu-HU"/>
        </w:rPr>
        <w:t>EU:C:2010:601</w:t>
      </w:r>
      <w:r>
        <w:rPr>
          <w:rStyle w:val="outputecliaff"/>
          <w:rFonts w:cs="Times New Roman"/>
          <w:lang w:val="hu-HU"/>
        </w:rPr>
        <w:t xml:space="preserve">, </w:t>
      </w:r>
      <w:r w:rsidRPr="003D06AA">
        <w:rPr>
          <w:lang w:val="fr-FR"/>
        </w:rPr>
        <w:t xml:space="preserve">paras. </w:t>
      </w:r>
      <w:r>
        <w:t>68–69.</w:t>
      </w:r>
    </w:p>
  </w:footnote>
  <w:footnote w:id="6">
    <w:p w14:paraId="00143FE5" w14:textId="77777777" w:rsidR="000658EE" w:rsidRPr="00C965E2" w:rsidRDefault="000658EE" w:rsidP="000658EE">
      <w:pPr>
        <w:pStyle w:val="FootnoteText"/>
        <w:rPr>
          <w:lang w:val="hu-HU"/>
        </w:rPr>
      </w:pPr>
      <w:r>
        <w:rPr>
          <w:rStyle w:val="FootnoteReference"/>
        </w:rPr>
        <w:footnoteRef/>
      </w:r>
      <w:r>
        <w:t xml:space="preserve"> </w:t>
      </w:r>
      <w:proofErr w:type="spellStart"/>
      <w:r w:rsidRPr="003A495D">
        <w:rPr>
          <w:i/>
        </w:rPr>
        <w:t>Rosenbladt</w:t>
      </w:r>
      <w:proofErr w:type="spellEnd"/>
      <w:r>
        <w:t>, para 52.</w:t>
      </w:r>
    </w:p>
  </w:footnote>
  <w:footnote w:id="7">
    <w:p w14:paraId="10724784" w14:textId="77777777" w:rsidR="00B14D70" w:rsidRPr="00861410" w:rsidRDefault="00B14D70" w:rsidP="00B14D70">
      <w:pPr>
        <w:pStyle w:val="FootnoteText"/>
        <w:rPr>
          <w:lang w:val="hu-HU"/>
        </w:rPr>
      </w:pPr>
      <w:r>
        <w:rPr>
          <w:rStyle w:val="FootnoteReference"/>
        </w:rPr>
        <w:footnoteRef/>
      </w:r>
      <w:r>
        <w:t xml:space="preserve"> </w:t>
      </w:r>
      <w:r>
        <w:rPr>
          <w:lang w:val="hu-HU"/>
        </w:rPr>
        <w:t xml:space="preserve">McKerlie, D (1989). Equality and Time, 99 </w:t>
      </w:r>
      <w:r w:rsidRPr="00861410">
        <w:rPr>
          <w:i/>
          <w:lang w:val="hu-HU"/>
        </w:rPr>
        <w:t>Ethics</w:t>
      </w:r>
      <w:r>
        <w:rPr>
          <w:lang w:val="hu-HU"/>
        </w:rPr>
        <w:t xml:space="preserve"> 475.</w:t>
      </w:r>
    </w:p>
  </w:footnote>
  <w:footnote w:id="8">
    <w:p w14:paraId="1B98325C" w14:textId="77777777" w:rsidR="00B14D70" w:rsidRPr="00861410" w:rsidRDefault="00B14D70" w:rsidP="00B14D70">
      <w:pPr>
        <w:pStyle w:val="FootnoteText"/>
        <w:rPr>
          <w:lang w:val="hu-HU"/>
        </w:rPr>
      </w:pPr>
      <w:r>
        <w:rPr>
          <w:rStyle w:val="FootnoteReference"/>
        </w:rPr>
        <w:footnoteRef/>
      </w:r>
      <w:r>
        <w:t xml:space="preserve"> </w:t>
      </w:r>
      <w:r>
        <w:rPr>
          <w:lang w:val="hu-HU"/>
        </w:rPr>
        <w:t>Horton, R (2018). Justifying Age Discrimination in the EU. In: Belavusau, U and Henrard, K (eds.):</w:t>
      </w:r>
      <w:r w:rsidRPr="00861410">
        <w:rPr>
          <w:i/>
          <w:lang w:val="hu-HU"/>
        </w:rPr>
        <w:t xml:space="preserve"> EU Anti-Discrimination Law Beyond Gender</w:t>
      </w:r>
      <w:r>
        <w:rPr>
          <w:lang w:val="hu-HU"/>
        </w:rPr>
        <w:t>, Hart, 277-278.</w:t>
      </w:r>
    </w:p>
  </w:footnote>
  <w:footnote w:id="9">
    <w:p w14:paraId="04A7A833" w14:textId="77777777" w:rsidR="003620F3" w:rsidRPr="009905FD" w:rsidRDefault="003620F3" w:rsidP="003620F3">
      <w:pPr>
        <w:pStyle w:val="FootnoteText"/>
        <w:rPr>
          <w:lang w:val="hu-HU"/>
        </w:rPr>
      </w:pPr>
      <w:r>
        <w:rPr>
          <w:rStyle w:val="FootnoteReference"/>
        </w:rPr>
        <w:footnoteRef/>
      </w:r>
      <w:r w:rsidRPr="003D06AA">
        <w:rPr>
          <w:lang w:val="hu-HU"/>
        </w:rPr>
        <w:t xml:space="preserve"> Case C-390/12, </w:t>
      </w:r>
      <w:r w:rsidRPr="003D06AA">
        <w:rPr>
          <w:i/>
          <w:lang w:val="hu-HU"/>
        </w:rPr>
        <w:t>Pfleger</w:t>
      </w:r>
      <w:r w:rsidRPr="003D06AA">
        <w:rPr>
          <w:lang w:val="hu-HU"/>
        </w:rPr>
        <w:t xml:space="preserve">, EU:C:2014:281; Case C-414/16, </w:t>
      </w:r>
      <w:r w:rsidRPr="003D06AA">
        <w:rPr>
          <w:i/>
          <w:lang w:val="hu-HU"/>
        </w:rPr>
        <w:t>Egenberger</w:t>
      </w:r>
      <w:r w:rsidRPr="003D06AA">
        <w:rPr>
          <w:lang w:val="hu-HU"/>
        </w:rPr>
        <w:t>, EU:C:2018:257.</w:t>
      </w:r>
    </w:p>
  </w:footnote>
  <w:footnote w:id="10">
    <w:p w14:paraId="6A9C6C70" w14:textId="77777777" w:rsidR="00CB76CF" w:rsidRPr="000730E7" w:rsidRDefault="00CB76CF" w:rsidP="00CB76CF">
      <w:pPr>
        <w:pStyle w:val="FootnoteText"/>
        <w:rPr>
          <w:lang w:val="hu-HU"/>
        </w:rPr>
      </w:pPr>
      <w:r>
        <w:rPr>
          <w:rStyle w:val="FootnoteReference"/>
        </w:rPr>
        <w:footnoteRef/>
      </w:r>
      <w:r w:rsidRPr="003D06AA">
        <w:rPr>
          <w:lang w:val="hu-HU"/>
        </w:rPr>
        <w:t xml:space="preserve"> Schiek (2011) supra (fn </w:t>
      </w:r>
      <w:r w:rsidRPr="003D06AA">
        <w:rPr>
          <w:lang w:val="hu-HU"/>
        </w:rPr>
        <w:t>4).</w:t>
      </w:r>
      <w:r>
        <w:fldChar w:fldCharType="begin"/>
      </w:r>
      <w:r w:rsidRPr="003D06AA">
        <w:rPr>
          <w:lang w:val="hu-HU"/>
        </w:rPr>
        <w:instrText xml:space="preserve"> REF _Ref55134433 \p \h </w:instrText>
      </w:r>
      <w:r>
        <w:fldChar w:fldCharType="end"/>
      </w:r>
      <w:r>
        <w:fldChar w:fldCharType="begin"/>
      </w:r>
      <w:r w:rsidRPr="003D06AA">
        <w:rPr>
          <w:lang w:val="hu-HU"/>
        </w:rPr>
        <w:instrText xml:space="preserve"> REF _Ref55134436 \p \h </w:instrText>
      </w:r>
      <w:r>
        <w:fldChar w:fldCharType="end"/>
      </w:r>
      <w:r>
        <w:fldChar w:fldCharType="begin"/>
      </w:r>
      <w:r w:rsidRPr="003D06AA">
        <w:rPr>
          <w:lang w:val="hu-HU"/>
        </w:rPr>
        <w:instrText xml:space="preserve"> REF _Ref55134436 \p \h </w:instrText>
      </w:r>
      <w:r>
        <w:fldChar w:fldCharType="end"/>
      </w:r>
    </w:p>
  </w:footnote>
  <w:footnote w:id="11">
    <w:p w14:paraId="57C43323" w14:textId="77777777" w:rsidR="00D0061B" w:rsidRPr="009905FD" w:rsidRDefault="00D0061B" w:rsidP="00D0061B">
      <w:pPr>
        <w:pStyle w:val="FootnoteText"/>
        <w:rPr>
          <w:lang w:val="hu-HU"/>
        </w:rPr>
      </w:pPr>
      <w:r>
        <w:rPr>
          <w:rStyle w:val="FootnoteReference"/>
        </w:rPr>
        <w:footnoteRef/>
      </w:r>
      <w:r w:rsidRPr="003D06AA">
        <w:rPr>
          <w:lang w:val="hu-HU"/>
        </w:rPr>
        <w:t xml:space="preserve"> Case C-417/13, </w:t>
      </w:r>
      <w:r w:rsidRPr="003D06AA">
        <w:rPr>
          <w:i/>
          <w:lang w:val="hu-HU"/>
        </w:rPr>
        <w:t>Starjakob</w:t>
      </w:r>
      <w:r w:rsidRPr="003D06AA">
        <w:rPr>
          <w:lang w:val="hu-HU"/>
        </w:rPr>
        <w:t>, EU:C:2015:38.</w:t>
      </w:r>
    </w:p>
  </w:footnote>
  <w:footnote w:id="12">
    <w:p w14:paraId="6D173AA5" w14:textId="77777777" w:rsidR="00D0061B" w:rsidRPr="009B6083" w:rsidRDefault="00D0061B" w:rsidP="00D0061B">
      <w:pPr>
        <w:pStyle w:val="FootnoteText"/>
        <w:rPr>
          <w:lang w:val="hu-HU"/>
        </w:rPr>
      </w:pPr>
      <w:r>
        <w:rPr>
          <w:rStyle w:val="FootnoteReference"/>
        </w:rPr>
        <w:footnoteRef/>
      </w:r>
      <w:r w:rsidRPr="003D06AA">
        <w:rPr>
          <w:lang w:val="hu-HU"/>
        </w:rPr>
        <w:t xml:space="preserve"> Case C-307/05, </w:t>
      </w:r>
      <w:r w:rsidRPr="003D06AA">
        <w:rPr>
          <w:i/>
          <w:lang w:val="hu-HU"/>
        </w:rPr>
        <w:t>Del Cerro Alonso</w:t>
      </w:r>
      <w:r w:rsidRPr="003D06AA">
        <w:rPr>
          <w:lang w:val="hu-HU"/>
        </w:rPr>
        <w:t xml:space="preserve">, EU:C:2007:509, Case C-72/18, </w:t>
      </w:r>
      <w:r w:rsidRPr="003D06AA">
        <w:rPr>
          <w:i/>
          <w:lang w:val="hu-HU"/>
        </w:rPr>
        <w:t>Ustariz Aróstegui</w:t>
      </w:r>
      <w:r w:rsidRPr="003D06AA">
        <w:rPr>
          <w:lang w:val="hu-HU"/>
        </w:rPr>
        <w:t>, EU:C:2019:516,</w:t>
      </w:r>
    </w:p>
  </w:footnote>
  <w:footnote w:id="13">
    <w:p w14:paraId="4ABA04F5" w14:textId="77777777" w:rsidR="004B4CF5" w:rsidRPr="001C00BF" w:rsidRDefault="004B4CF5" w:rsidP="004B4CF5">
      <w:pPr>
        <w:pStyle w:val="FootnoteText"/>
        <w:rPr>
          <w:lang w:val="hu-HU"/>
        </w:rPr>
      </w:pPr>
      <w:r>
        <w:rPr>
          <w:rStyle w:val="FootnoteReference"/>
        </w:rPr>
        <w:footnoteRef/>
      </w:r>
      <w:r>
        <w:t xml:space="preserve"> Case C</w:t>
      </w:r>
      <w:r>
        <w:noBreakHyphen/>
        <w:t xml:space="preserve">229/08, </w:t>
      </w:r>
      <w:r w:rsidRPr="001C00BF">
        <w:rPr>
          <w:i/>
        </w:rPr>
        <w:t>Wolf</w:t>
      </w:r>
      <w:r w:rsidRPr="001C00BF">
        <w:t>, [2010] ECR I</w:t>
      </w:r>
      <w:r w:rsidRPr="001C00BF">
        <w:noBreakHyphen/>
        <w:t>1</w:t>
      </w:r>
      <w:r>
        <w:t>.</w:t>
      </w:r>
    </w:p>
  </w:footnote>
  <w:footnote w:id="14">
    <w:p w14:paraId="1D960713" w14:textId="77777777" w:rsidR="007662CA" w:rsidRPr="001C00BF" w:rsidRDefault="007662CA" w:rsidP="001C00BF">
      <w:pPr>
        <w:pStyle w:val="FootnoteText"/>
        <w:rPr>
          <w:lang w:val="hu-HU"/>
        </w:rPr>
      </w:pPr>
      <w:r>
        <w:rPr>
          <w:rStyle w:val="FootnoteReference"/>
        </w:rPr>
        <w:footnoteRef/>
      </w:r>
      <w:r>
        <w:t xml:space="preserve"> </w:t>
      </w:r>
      <w:r>
        <w:rPr>
          <w:lang w:val="hu-HU"/>
        </w:rPr>
        <w:t xml:space="preserve">Opinion of AG Cruz Villalón in </w:t>
      </w:r>
      <w:r w:rsidRPr="001C00BF">
        <w:rPr>
          <w:i/>
          <w:lang w:val="hu-HU"/>
        </w:rPr>
        <w:t>Reinhard Prigge Michael Fromm Volker Lambach v Deutsche Lufthansa AG</w:t>
      </w:r>
      <w:r>
        <w:rPr>
          <w:lang w:val="hu-HU"/>
        </w:rPr>
        <w:t>, Case C-447/09.</w:t>
      </w:r>
    </w:p>
  </w:footnote>
  <w:footnote w:id="15">
    <w:p w14:paraId="62E7034A" w14:textId="77777777" w:rsidR="007D4096" w:rsidRPr="008B4232" w:rsidRDefault="007D4096" w:rsidP="007D4096">
      <w:pPr>
        <w:pStyle w:val="FootnoteText"/>
        <w:rPr>
          <w:lang w:val="hu-HU"/>
        </w:rPr>
      </w:pPr>
      <w:r>
        <w:rPr>
          <w:rStyle w:val="FootnoteReference"/>
        </w:rPr>
        <w:footnoteRef/>
      </w:r>
      <w:r w:rsidRPr="003D06AA">
        <w:rPr>
          <w:lang w:val="hu-HU"/>
        </w:rPr>
        <w:t xml:space="preserve"> Case C-184/15 and C-197/15, </w:t>
      </w:r>
      <w:r w:rsidRPr="003D06AA">
        <w:rPr>
          <w:i/>
          <w:lang w:val="hu-HU"/>
        </w:rPr>
        <w:t>Martinez Andrés and Castrejana López</w:t>
      </w:r>
      <w:r w:rsidRPr="003D06AA">
        <w:rPr>
          <w:lang w:val="hu-HU"/>
        </w:rPr>
        <w:t>, EU:C:2016:680.</w:t>
      </w:r>
    </w:p>
  </w:footnote>
  <w:footnote w:id="16">
    <w:p w14:paraId="4BF442E7" w14:textId="77777777" w:rsidR="007D4096" w:rsidRPr="009B6083" w:rsidRDefault="007D4096" w:rsidP="007D4096">
      <w:pPr>
        <w:pStyle w:val="FootnoteText"/>
        <w:rPr>
          <w:lang w:val="hu-HU"/>
        </w:rPr>
      </w:pPr>
      <w:r>
        <w:rPr>
          <w:rStyle w:val="FootnoteReference"/>
        </w:rPr>
        <w:footnoteRef/>
      </w:r>
      <w:r w:rsidRPr="003D06AA">
        <w:rPr>
          <w:lang w:val="hu-HU"/>
        </w:rPr>
        <w:t xml:space="preserve"> Case C-46/17, </w:t>
      </w:r>
      <w:r w:rsidRPr="003D06AA">
        <w:rPr>
          <w:i/>
          <w:lang w:val="hu-HU"/>
        </w:rPr>
        <w:t>Hubertus John v Freie Hansestadt Bremen</w:t>
      </w:r>
      <w:r w:rsidRPr="003D06AA">
        <w:rPr>
          <w:lang w:val="hu-HU"/>
        </w:rPr>
        <w:t xml:space="preserve">, </w:t>
      </w:r>
      <w:r w:rsidRPr="003D06AA">
        <w:rPr>
          <w:rFonts w:cs="Times New Roman"/>
          <w:lang w:val="hu-HU"/>
        </w:rPr>
        <w:t>EU:C:2018:131.</w:t>
      </w:r>
    </w:p>
  </w:footnote>
  <w:footnote w:id="17">
    <w:p w14:paraId="45AA1C1C" w14:textId="77777777" w:rsidR="00C26C6C" w:rsidRPr="00AB3611" w:rsidRDefault="00C26C6C" w:rsidP="00C26C6C">
      <w:pPr>
        <w:pStyle w:val="FootnoteText"/>
        <w:rPr>
          <w:lang w:val="hu-HU"/>
        </w:rPr>
      </w:pPr>
      <w:r>
        <w:rPr>
          <w:rStyle w:val="FootnoteReference"/>
        </w:rPr>
        <w:footnoteRef/>
      </w:r>
      <w:r w:rsidRPr="00C26C6C">
        <w:rPr>
          <w:lang w:val="hu-HU"/>
        </w:rPr>
        <w:t xml:space="preserve"> Case C-143/16, </w:t>
      </w:r>
      <w:r w:rsidRPr="00C26C6C">
        <w:rPr>
          <w:i/>
          <w:lang w:val="hu-HU"/>
        </w:rPr>
        <w:t>Abercrombie &amp; Fitch Italia</w:t>
      </w:r>
      <w:r w:rsidRPr="00C26C6C">
        <w:rPr>
          <w:lang w:val="hu-HU"/>
        </w:rPr>
        <w:t>, EU:C:2017:566</w:t>
      </w:r>
    </w:p>
  </w:footnote>
  <w:footnote w:id="18">
    <w:p w14:paraId="6F3ADAEA" w14:textId="77777777" w:rsidR="00C445C1" w:rsidRPr="0014731C" w:rsidRDefault="00C445C1" w:rsidP="00C445C1">
      <w:pPr>
        <w:pStyle w:val="FootnoteText"/>
        <w:rPr>
          <w:lang w:val="hu-HU"/>
        </w:rPr>
      </w:pPr>
      <w:r>
        <w:rPr>
          <w:rStyle w:val="FootnoteReference"/>
        </w:rPr>
        <w:footnoteRef/>
      </w:r>
      <w:r w:rsidRPr="00C26C6C">
        <w:rPr>
          <w:lang w:val="hu-HU"/>
        </w:rPr>
        <w:t xml:space="preserve"> </w:t>
      </w:r>
      <w:r w:rsidRPr="0014731C">
        <w:rPr>
          <w:i/>
          <w:lang w:val="hu-HU"/>
        </w:rPr>
        <w:t>Wolf</w:t>
      </w:r>
      <w:r w:rsidRPr="0014731C">
        <w:rPr>
          <w:lang w:val="hu-HU"/>
        </w:rPr>
        <w:t>, EU:C:2010:3</w:t>
      </w:r>
      <w:r>
        <w:rPr>
          <w:lang w:val="hu-HU"/>
        </w:rPr>
        <w:t>.</w:t>
      </w:r>
    </w:p>
  </w:footnote>
  <w:footnote w:id="19">
    <w:p w14:paraId="717AC5E0" w14:textId="77777777" w:rsidR="00CD70B9" w:rsidRPr="00F73073" w:rsidRDefault="00CD70B9" w:rsidP="00CD70B9">
      <w:pPr>
        <w:pStyle w:val="FootnoteText"/>
      </w:pPr>
      <w:r>
        <w:rPr>
          <w:rStyle w:val="FootnoteReference"/>
        </w:rPr>
        <w:footnoteRef/>
      </w:r>
      <w:r>
        <w:t xml:space="preserve"> Case C-154/18, </w:t>
      </w:r>
      <w:r w:rsidRPr="00F73073">
        <w:rPr>
          <w:i/>
        </w:rPr>
        <w:t>Tomás Horgan and Claire Keegan</w:t>
      </w:r>
      <w:r>
        <w:t xml:space="preserve">, </w:t>
      </w:r>
      <w:r w:rsidRPr="00F73073">
        <w:t>EU:C:2019:113</w:t>
      </w:r>
      <w:r>
        <w:t>.</w:t>
      </w:r>
    </w:p>
  </w:footnote>
  <w:footnote w:id="20">
    <w:p w14:paraId="5EA7FBA6" w14:textId="77777777" w:rsidR="00CD70B9" w:rsidRPr="009905FD" w:rsidRDefault="00CD70B9" w:rsidP="00CD70B9">
      <w:pPr>
        <w:pStyle w:val="FootnoteText"/>
      </w:pPr>
      <w:r>
        <w:rPr>
          <w:rStyle w:val="FootnoteReference"/>
        </w:rPr>
        <w:footnoteRef/>
      </w:r>
      <w:r>
        <w:t xml:space="preserve"> Case </w:t>
      </w:r>
      <w:r w:rsidRPr="009905FD">
        <w:t>C-396/17</w:t>
      </w:r>
      <w:r>
        <w:t xml:space="preserve">, </w:t>
      </w:r>
      <w:r w:rsidRPr="009905FD">
        <w:rPr>
          <w:i/>
        </w:rPr>
        <w:t xml:space="preserve">Martin Leitner v </w:t>
      </w:r>
      <w:proofErr w:type="spellStart"/>
      <w:r w:rsidRPr="009905FD">
        <w:rPr>
          <w:i/>
        </w:rPr>
        <w:t>Landespolizeidirektion</w:t>
      </w:r>
      <w:proofErr w:type="spellEnd"/>
      <w:r w:rsidRPr="009905FD">
        <w:rPr>
          <w:i/>
        </w:rPr>
        <w:t xml:space="preserve"> Tirol</w:t>
      </w:r>
      <w:r>
        <w:t xml:space="preserve">, </w:t>
      </w:r>
      <w:r w:rsidRPr="009905FD">
        <w:t>EU:C:2019:375</w:t>
      </w:r>
      <w:r>
        <w:t>.</w:t>
      </w:r>
    </w:p>
  </w:footnote>
  <w:footnote w:id="21">
    <w:p w14:paraId="06B734F2" w14:textId="77777777" w:rsidR="00CD70B9" w:rsidRPr="0031205C" w:rsidRDefault="00CD70B9" w:rsidP="00CD70B9">
      <w:pPr>
        <w:pStyle w:val="FootnoteText"/>
        <w:rPr>
          <w:lang w:val="hu-HU"/>
        </w:rPr>
      </w:pPr>
      <w:r>
        <w:rPr>
          <w:rStyle w:val="FootnoteReference"/>
        </w:rPr>
        <w:footnoteRef/>
      </w:r>
      <w:r>
        <w:t xml:space="preserve"> Case </w:t>
      </w:r>
      <w:r w:rsidRPr="0031205C">
        <w:t>C-499/08</w:t>
      </w:r>
      <w:r>
        <w:t xml:space="preserve">, </w:t>
      </w:r>
      <w:proofErr w:type="spellStart"/>
      <w:r w:rsidRPr="00E375C5">
        <w:rPr>
          <w:i/>
        </w:rPr>
        <w:t>Ingeniørforeningen</w:t>
      </w:r>
      <w:proofErr w:type="spellEnd"/>
      <w:r w:rsidRPr="00E375C5">
        <w:rPr>
          <w:i/>
        </w:rPr>
        <w:t xml:space="preserve"> i </w:t>
      </w:r>
      <w:proofErr w:type="spellStart"/>
      <w:r w:rsidRPr="00E375C5">
        <w:rPr>
          <w:i/>
        </w:rPr>
        <w:t>Danmark</w:t>
      </w:r>
      <w:proofErr w:type="spellEnd"/>
      <w:r w:rsidRPr="00E375C5">
        <w:rPr>
          <w:i/>
        </w:rPr>
        <w:t xml:space="preserve"> acting on behalf of Ole Andersen v Region </w:t>
      </w:r>
      <w:proofErr w:type="spellStart"/>
      <w:r w:rsidRPr="00E375C5">
        <w:rPr>
          <w:i/>
        </w:rPr>
        <w:t>Syddanmark</w:t>
      </w:r>
      <w:proofErr w:type="spellEnd"/>
      <w:r>
        <w:t xml:space="preserve">, </w:t>
      </w:r>
      <w:r>
        <w:rPr>
          <w:rStyle w:val="outputecli"/>
        </w:rPr>
        <w:t>EU:C:2010:600.</w:t>
      </w:r>
    </w:p>
  </w:footnote>
  <w:footnote w:id="22">
    <w:p w14:paraId="1124FDED" w14:textId="77777777" w:rsidR="00CD70B9" w:rsidRPr="0031205C" w:rsidRDefault="00CD70B9" w:rsidP="00CD70B9">
      <w:pPr>
        <w:pStyle w:val="FootnoteText"/>
        <w:rPr>
          <w:lang w:val="hu-HU"/>
        </w:rPr>
      </w:pPr>
      <w:r>
        <w:rPr>
          <w:rStyle w:val="FootnoteReference"/>
        </w:rPr>
        <w:footnoteRef/>
      </w:r>
      <w:r>
        <w:t xml:space="preserve"> </w:t>
      </w:r>
      <w:proofErr w:type="spellStart"/>
      <w:r>
        <w:t>Schiek</w:t>
      </w:r>
      <w:proofErr w:type="spellEnd"/>
      <w:r>
        <w:t xml:space="preserve"> (2011) supra (</w:t>
      </w:r>
      <w:proofErr w:type="spellStart"/>
      <w:r>
        <w:t>fn</w:t>
      </w:r>
      <w:proofErr w:type="spellEnd"/>
      <w:r>
        <w:t xml:space="preserve">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F851C" w14:textId="77777777" w:rsidR="007662CA" w:rsidRDefault="007662CA" w:rsidP="008811C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53B691" w14:textId="77777777" w:rsidR="007662CA" w:rsidRDefault="007662CA" w:rsidP="00F119B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8FD4D" w14:textId="77777777" w:rsidR="007662CA" w:rsidRDefault="007662CA" w:rsidP="008811C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373EE">
      <w:rPr>
        <w:rStyle w:val="PageNumber"/>
        <w:noProof/>
      </w:rPr>
      <w:t>10</w:t>
    </w:r>
    <w:r>
      <w:rPr>
        <w:rStyle w:val="PageNumber"/>
      </w:rPr>
      <w:fldChar w:fldCharType="end"/>
    </w:r>
  </w:p>
  <w:p w14:paraId="334080C6" w14:textId="77777777" w:rsidR="007662CA" w:rsidRDefault="007662CA" w:rsidP="00F119B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523FC4"/>
    <w:multiLevelType w:val="hybridMultilevel"/>
    <w:tmpl w:val="769CA1B6"/>
    <w:lvl w:ilvl="0" w:tplc="B2247E18">
      <w:start w:val="1"/>
      <w:numFmt w:val="decimal"/>
      <w:lvlText w:val="%1."/>
      <w:lvlJc w:val="left"/>
      <w:pPr>
        <w:ind w:left="720" w:hanging="360"/>
      </w:pPr>
      <w:rPr>
        <w:rFonts w:hint="default"/>
      </w:rPr>
    </w:lvl>
    <w:lvl w:ilvl="1" w:tplc="BC406424" w:tentative="1">
      <w:start w:val="1"/>
      <w:numFmt w:val="lowerLetter"/>
      <w:lvlText w:val="%2."/>
      <w:lvlJc w:val="left"/>
      <w:pPr>
        <w:ind w:left="1440" w:hanging="360"/>
      </w:pPr>
    </w:lvl>
    <w:lvl w:ilvl="2" w:tplc="423094BC" w:tentative="1">
      <w:start w:val="1"/>
      <w:numFmt w:val="lowerRoman"/>
      <w:lvlText w:val="%3."/>
      <w:lvlJc w:val="right"/>
      <w:pPr>
        <w:ind w:left="2160" w:hanging="180"/>
      </w:pPr>
    </w:lvl>
    <w:lvl w:ilvl="3" w:tplc="60C6E6A6" w:tentative="1">
      <w:start w:val="1"/>
      <w:numFmt w:val="decimal"/>
      <w:lvlText w:val="%4."/>
      <w:lvlJc w:val="left"/>
      <w:pPr>
        <w:ind w:left="2880" w:hanging="360"/>
      </w:pPr>
    </w:lvl>
    <w:lvl w:ilvl="4" w:tplc="E99A70C8" w:tentative="1">
      <w:start w:val="1"/>
      <w:numFmt w:val="lowerLetter"/>
      <w:lvlText w:val="%5."/>
      <w:lvlJc w:val="left"/>
      <w:pPr>
        <w:ind w:left="3600" w:hanging="360"/>
      </w:pPr>
    </w:lvl>
    <w:lvl w:ilvl="5" w:tplc="2FA0897A" w:tentative="1">
      <w:start w:val="1"/>
      <w:numFmt w:val="lowerRoman"/>
      <w:lvlText w:val="%6."/>
      <w:lvlJc w:val="right"/>
      <w:pPr>
        <w:ind w:left="4320" w:hanging="180"/>
      </w:pPr>
    </w:lvl>
    <w:lvl w:ilvl="6" w:tplc="7D56E4EC" w:tentative="1">
      <w:start w:val="1"/>
      <w:numFmt w:val="decimal"/>
      <w:lvlText w:val="%7."/>
      <w:lvlJc w:val="left"/>
      <w:pPr>
        <w:ind w:left="5040" w:hanging="360"/>
      </w:pPr>
    </w:lvl>
    <w:lvl w:ilvl="7" w:tplc="F522D1E4" w:tentative="1">
      <w:start w:val="1"/>
      <w:numFmt w:val="lowerLetter"/>
      <w:lvlText w:val="%8."/>
      <w:lvlJc w:val="left"/>
      <w:pPr>
        <w:ind w:left="5760" w:hanging="360"/>
      </w:pPr>
    </w:lvl>
    <w:lvl w:ilvl="8" w:tplc="B3C41764" w:tentative="1">
      <w:start w:val="1"/>
      <w:numFmt w:val="lowerRoman"/>
      <w:lvlText w:val="%9."/>
      <w:lvlJc w:val="right"/>
      <w:pPr>
        <w:ind w:left="6480" w:hanging="180"/>
      </w:pPr>
    </w:lvl>
  </w:abstractNum>
  <w:abstractNum w:abstractNumId="1" w15:restartNumberingAfterBreak="0">
    <w:nsid w:val="5AF4020D"/>
    <w:multiLevelType w:val="hybridMultilevel"/>
    <w:tmpl w:val="A8926ABE"/>
    <w:lvl w:ilvl="0" w:tplc="DDBC1494">
      <w:start w:val="1"/>
      <w:numFmt w:val="bullet"/>
      <w:lvlText w:val=""/>
      <w:lvlJc w:val="left"/>
      <w:pPr>
        <w:ind w:left="720" w:hanging="360"/>
      </w:pPr>
      <w:rPr>
        <w:rFonts w:ascii="Symbol" w:hAnsi="Symbol" w:hint="default"/>
      </w:rPr>
    </w:lvl>
    <w:lvl w:ilvl="1" w:tplc="C7D81E64" w:tentative="1">
      <w:start w:val="1"/>
      <w:numFmt w:val="bullet"/>
      <w:lvlText w:val="o"/>
      <w:lvlJc w:val="left"/>
      <w:pPr>
        <w:ind w:left="1440" w:hanging="360"/>
      </w:pPr>
      <w:rPr>
        <w:rFonts w:ascii="Courier New" w:hAnsi="Courier New" w:cs="Courier New" w:hint="default"/>
      </w:rPr>
    </w:lvl>
    <w:lvl w:ilvl="2" w:tplc="27D6A5B2" w:tentative="1">
      <w:start w:val="1"/>
      <w:numFmt w:val="bullet"/>
      <w:lvlText w:val=""/>
      <w:lvlJc w:val="left"/>
      <w:pPr>
        <w:ind w:left="2160" w:hanging="360"/>
      </w:pPr>
      <w:rPr>
        <w:rFonts w:ascii="Wingdings" w:hAnsi="Wingdings" w:hint="default"/>
      </w:rPr>
    </w:lvl>
    <w:lvl w:ilvl="3" w:tplc="24CA9BE2" w:tentative="1">
      <w:start w:val="1"/>
      <w:numFmt w:val="bullet"/>
      <w:lvlText w:val=""/>
      <w:lvlJc w:val="left"/>
      <w:pPr>
        <w:ind w:left="2880" w:hanging="360"/>
      </w:pPr>
      <w:rPr>
        <w:rFonts w:ascii="Symbol" w:hAnsi="Symbol" w:hint="default"/>
      </w:rPr>
    </w:lvl>
    <w:lvl w:ilvl="4" w:tplc="B2B6898A" w:tentative="1">
      <w:start w:val="1"/>
      <w:numFmt w:val="bullet"/>
      <w:lvlText w:val="o"/>
      <w:lvlJc w:val="left"/>
      <w:pPr>
        <w:ind w:left="3600" w:hanging="360"/>
      </w:pPr>
      <w:rPr>
        <w:rFonts w:ascii="Courier New" w:hAnsi="Courier New" w:cs="Courier New" w:hint="default"/>
      </w:rPr>
    </w:lvl>
    <w:lvl w:ilvl="5" w:tplc="DCF41252" w:tentative="1">
      <w:start w:val="1"/>
      <w:numFmt w:val="bullet"/>
      <w:lvlText w:val=""/>
      <w:lvlJc w:val="left"/>
      <w:pPr>
        <w:ind w:left="4320" w:hanging="360"/>
      </w:pPr>
      <w:rPr>
        <w:rFonts w:ascii="Wingdings" w:hAnsi="Wingdings" w:hint="default"/>
      </w:rPr>
    </w:lvl>
    <w:lvl w:ilvl="6" w:tplc="4CEC4ED0" w:tentative="1">
      <w:start w:val="1"/>
      <w:numFmt w:val="bullet"/>
      <w:lvlText w:val=""/>
      <w:lvlJc w:val="left"/>
      <w:pPr>
        <w:ind w:left="5040" w:hanging="360"/>
      </w:pPr>
      <w:rPr>
        <w:rFonts w:ascii="Symbol" w:hAnsi="Symbol" w:hint="default"/>
      </w:rPr>
    </w:lvl>
    <w:lvl w:ilvl="7" w:tplc="FAE0F208" w:tentative="1">
      <w:start w:val="1"/>
      <w:numFmt w:val="bullet"/>
      <w:lvlText w:val="o"/>
      <w:lvlJc w:val="left"/>
      <w:pPr>
        <w:ind w:left="5760" w:hanging="360"/>
      </w:pPr>
      <w:rPr>
        <w:rFonts w:ascii="Courier New" w:hAnsi="Courier New" w:cs="Courier New" w:hint="default"/>
      </w:rPr>
    </w:lvl>
    <w:lvl w:ilvl="8" w:tplc="D048DDF4" w:tentative="1">
      <w:start w:val="1"/>
      <w:numFmt w:val="bullet"/>
      <w:lvlText w:val=""/>
      <w:lvlJc w:val="left"/>
      <w:pPr>
        <w:ind w:left="6480" w:hanging="360"/>
      </w:pPr>
      <w:rPr>
        <w:rFonts w:ascii="Wingdings" w:hAnsi="Wingdings" w:hint="default"/>
      </w:rPr>
    </w:lvl>
  </w:abstractNum>
  <w:abstractNum w:abstractNumId="2" w15:restartNumberingAfterBreak="0">
    <w:nsid w:val="7DE16954"/>
    <w:multiLevelType w:val="hybridMultilevel"/>
    <w:tmpl w:val="FC6A0874"/>
    <w:lvl w:ilvl="0" w:tplc="DCA67248">
      <w:start w:val="1"/>
      <w:numFmt w:val="bullet"/>
      <w:lvlText w:val=""/>
      <w:lvlJc w:val="left"/>
      <w:pPr>
        <w:ind w:left="720" w:hanging="360"/>
      </w:pPr>
      <w:rPr>
        <w:rFonts w:ascii="Symbol" w:hAnsi="Symbol" w:hint="default"/>
      </w:rPr>
    </w:lvl>
    <w:lvl w:ilvl="1" w:tplc="BA52897E" w:tentative="1">
      <w:start w:val="1"/>
      <w:numFmt w:val="bullet"/>
      <w:lvlText w:val="o"/>
      <w:lvlJc w:val="left"/>
      <w:pPr>
        <w:ind w:left="1440" w:hanging="360"/>
      </w:pPr>
      <w:rPr>
        <w:rFonts w:ascii="Courier New" w:hAnsi="Courier New" w:cs="Courier New" w:hint="default"/>
      </w:rPr>
    </w:lvl>
    <w:lvl w:ilvl="2" w:tplc="49FCCCFA" w:tentative="1">
      <w:start w:val="1"/>
      <w:numFmt w:val="bullet"/>
      <w:lvlText w:val=""/>
      <w:lvlJc w:val="left"/>
      <w:pPr>
        <w:ind w:left="2160" w:hanging="360"/>
      </w:pPr>
      <w:rPr>
        <w:rFonts w:ascii="Wingdings" w:hAnsi="Wingdings" w:hint="default"/>
      </w:rPr>
    </w:lvl>
    <w:lvl w:ilvl="3" w:tplc="0A269898" w:tentative="1">
      <w:start w:val="1"/>
      <w:numFmt w:val="bullet"/>
      <w:lvlText w:val=""/>
      <w:lvlJc w:val="left"/>
      <w:pPr>
        <w:ind w:left="2880" w:hanging="360"/>
      </w:pPr>
      <w:rPr>
        <w:rFonts w:ascii="Symbol" w:hAnsi="Symbol" w:hint="default"/>
      </w:rPr>
    </w:lvl>
    <w:lvl w:ilvl="4" w:tplc="7E0280F0" w:tentative="1">
      <w:start w:val="1"/>
      <w:numFmt w:val="bullet"/>
      <w:lvlText w:val="o"/>
      <w:lvlJc w:val="left"/>
      <w:pPr>
        <w:ind w:left="3600" w:hanging="360"/>
      </w:pPr>
      <w:rPr>
        <w:rFonts w:ascii="Courier New" w:hAnsi="Courier New" w:cs="Courier New" w:hint="default"/>
      </w:rPr>
    </w:lvl>
    <w:lvl w:ilvl="5" w:tplc="1BC6D006" w:tentative="1">
      <w:start w:val="1"/>
      <w:numFmt w:val="bullet"/>
      <w:lvlText w:val=""/>
      <w:lvlJc w:val="left"/>
      <w:pPr>
        <w:ind w:left="4320" w:hanging="360"/>
      </w:pPr>
      <w:rPr>
        <w:rFonts w:ascii="Wingdings" w:hAnsi="Wingdings" w:hint="default"/>
      </w:rPr>
    </w:lvl>
    <w:lvl w:ilvl="6" w:tplc="16E8109C" w:tentative="1">
      <w:start w:val="1"/>
      <w:numFmt w:val="bullet"/>
      <w:lvlText w:val=""/>
      <w:lvlJc w:val="left"/>
      <w:pPr>
        <w:ind w:left="5040" w:hanging="360"/>
      </w:pPr>
      <w:rPr>
        <w:rFonts w:ascii="Symbol" w:hAnsi="Symbol" w:hint="default"/>
      </w:rPr>
    </w:lvl>
    <w:lvl w:ilvl="7" w:tplc="AE662D38" w:tentative="1">
      <w:start w:val="1"/>
      <w:numFmt w:val="bullet"/>
      <w:lvlText w:val="o"/>
      <w:lvlJc w:val="left"/>
      <w:pPr>
        <w:ind w:left="5760" w:hanging="360"/>
      </w:pPr>
      <w:rPr>
        <w:rFonts w:ascii="Courier New" w:hAnsi="Courier New" w:cs="Courier New" w:hint="default"/>
      </w:rPr>
    </w:lvl>
    <w:lvl w:ilvl="8" w:tplc="3F283948"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0EC0"/>
    <w:rsid w:val="00044FB8"/>
    <w:rsid w:val="00046860"/>
    <w:rsid w:val="00056C76"/>
    <w:rsid w:val="00063C1E"/>
    <w:rsid w:val="000658EE"/>
    <w:rsid w:val="000727EE"/>
    <w:rsid w:val="000730E7"/>
    <w:rsid w:val="0008194E"/>
    <w:rsid w:val="000843C7"/>
    <w:rsid w:val="000C48F7"/>
    <w:rsid w:val="000E4892"/>
    <w:rsid w:val="00100056"/>
    <w:rsid w:val="00116E81"/>
    <w:rsid w:val="00132F6B"/>
    <w:rsid w:val="001430AF"/>
    <w:rsid w:val="0014511E"/>
    <w:rsid w:val="0014731C"/>
    <w:rsid w:val="001514E1"/>
    <w:rsid w:val="0016202C"/>
    <w:rsid w:val="001729C6"/>
    <w:rsid w:val="00176577"/>
    <w:rsid w:val="00197058"/>
    <w:rsid w:val="001971C4"/>
    <w:rsid w:val="001A655E"/>
    <w:rsid w:val="001B1CBA"/>
    <w:rsid w:val="001C00BF"/>
    <w:rsid w:val="001C3BE8"/>
    <w:rsid w:val="001E6F03"/>
    <w:rsid w:val="001F33FD"/>
    <w:rsid w:val="00210FBD"/>
    <w:rsid w:val="002373EE"/>
    <w:rsid w:val="00246E42"/>
    <w:rsid w:val="00260CB7"/>
    <w:rsid w:val="00292A7C"/>
    <w:rsid w:val="002C75C0"/>
    <w:rsid w:val="002E0BF1"/>
    <w:rsid w:val="002F2B72"/>
    <w:rsid w:val="0031205C"/>
    <w:rsid w:val="00336083"/>
    <w:rsid w:val="003620F3"/>
    <w:rsid w:val="0038012F"/>
    <w:rsid w:val="003873DF"/>
    <w:rsid w:val="003917C2"/>
    <w:rsid w:val="003945A5"/>
    <w:rsid w:val="003A163E"/>
    <w:rsid w:val="003A495D"/>
    <w:rsid w:val="003B6AEC"/>
    <w:rsid w:val="003D06AA"/>
    <w:rsid w:val="00453608"/>
    <w:rsid w:val="004A688A"/>
    <w:rsid w:val="004B4CF5"/>
    <w:rsid w:val="004F6E12"/>
    <w:rsid w:val="00504497"/>
    <w:rsid w:val="00533E25"/>
    <w:rsid w:val="005478EC"/>
    <w:rsid w:val="00550364"/>
    <w:rsid w:val="00553F63"/>
    <w:rsid w:val="005A329E"/>
    <w:rsid w:val="005E02DE"/>
    <w:rsid w:val="005F066F"/>
    <w:rsid w:val="00602B7A"/>
    <w:rsid w:val="006054CD"/>
    <w:rsid w:val="006337BA"/>
    <w:rsid w:val="006523EF"/>
    <w:rsid w:val="0066697F"/>
    <w:rsid w:val="007179E7"/>
    <w:rsid w:val="007662CA"/>
    <w:rsid w:val="00770A1B"/>
    <w:rsid w:val="007D2503"/>
    <w:rsid w:val="007D4096"/>
    <w:rsid w:val="00816CB2"/>
    <w:rsid w:val="0081736E"/>
    <w:rsid w:val="0082684D"/>
    <w:rsid w:val="00861410"/>
    <w:rsid w:val="00863217"/>
    <w:rsid w:val="008811C2"/>
    <w:rsid w:val="00882323"/>
    <w:rsid w:val="008B3954"/>
    <w:rsid w:val="008B4232"/>
    <w:rsid w:val="008D741C"/>
    <w:rsid w:val="009002D5"/>
    <w:rsid w:val="00932574"/>
    <w:rsid w:val="0094296A"/>
    <w:rsid w:val="0097588F"/>
    <w:rsid w:val="009905FD"/>
    <w:rsid w:val="009958EC"/>
    <w:rsid w:val="009972CF"/>
    <w:rsid w:val="009B6083"/>
    <w:rsid w:val="009C0A6E"/>
    <w:rsid w:val="00A15099"/>
    <w:rsid w:val="00A212CB"/>
    <w:rsid w:val="00A37921"/>
    <w:rsid w:val="00A45AD0"/>
    <w:rsid w:val="00A47139"/>
    <w:rsid w:val="00AB021B"/>
    <w:rsid w:val="00AB0BEE"/>
    <w:rsid w:val="00AB3611"/>
    <w:rsid w:val="00AD2DB7"/>
    <w:rsid w:val="00B14D70"/>
    <w:rsid w:val="00B20F17"/>
    <w:rsid w:val="00B43165"/>
    <w:rsid w:val="00B960B5"/>
    <w:rsid w:val="00BB29AA"/>
    <w:rsid w:val="00C166D4"/>
    <w:rsid w:val="00C24DC1"/>
    <w:rsid w:val="00C26C6C"/>
    <w:rsid w:val="00C36533"/>
    <w:rsid w:val="00C445C1"/>
    <w:rsid w:val="00C80589"/>
    <w:rsid w:val="00C965E2"/>
    <w:rsid w:val="00CB5E69"/>
    <w:rsid w:val="00CB76CF"/>
    <w:rsid w:val="00CD70B9"/>
    <w:rsid w:val="00CF4831"/>
    <w:rsid w:val="00D0061B"/>
    <w:rsid w:val="00D00B28"/>
    <w:rsid w:val="00D8522A"/>
    <w:rsid w:val="00DA3DDB"/>
    <w:rsid w:val="00DC4A9A"/>
    <w:rsid w:val="00DD3C47"/>
    <w:rsid w:val="00DE027A"/>
    <w:rsid w:val="00DE2DDF"/>
    <w:rsid w:val="00DE6C5C"/>
    <w:rsid w:val="00E0634D"/>
    <w:rsid w:val="00E34D66"/>
    <w:rsid w:val="00E375C5"/>
    <w:rsid w:val="00E533EB"/>
    <w:rsid w:val="00E567B1"/>
    <w:rsid w:val="00E621D2"/>
    <w:rsid w:val="00E80CD5"/>
    <w:rsid w:val="00ED1B8A"/>
    <w:rsid w:val="00ED45A0"/>
    <w:rsid w:val="00EE5934"/>
    <w:rsid w:val="00F119BA"/>
    <w:rsid w:val="00F52FF5"/>
    <w:rsid w:val="00F61611"/>
    <w:rsid w:val="00F73073"/>
    <w:rsid w:val="00F730D0"/>
    <w:rsid w:val="00F9220B"/>
    <w:rsid w:val="00FA7362"/>
    <w:rsid w:val="00FB0EC0"/>
    <w:rsid w:val="00FE18A7"/>
    <w:rsid w:val="00FE58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60350A"/>
  <w15:docId w15:val="{D2DF9E97-42CB-4F7F-B35B-0B2473135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CD5"/>
    <w:pPr>
      <w:spacing w:line="360" w:lineRule="auto"/>
      <w:jc w:val="both"/>
    </w:pPr>
    <w:rPr>
      <w:rFonts w:ascii="Times New Roman" w:hAnsi="Times New Roman"/>
    </w:rPr>
  </w:style>
  <w:style w:type="paragraph" w:styleId="Heading1">
    <w:name w:val="heading 1"/>
    <w:basedOn w:val="Normal"/>
    <w:next w:val="Normal"/>
    <w:link w:val="Heading1Char"/>
    <w:uiPriority w:val="9"/>
    <w:qFormat/>
    <w:rsid w:val="00FA73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73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E59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362"/>
    <w:pPr>
      <w:ind w:left="720"/>
      <w:contextualSpacing/>
    </w:pPr>
  </w:style>
  <w:style w:type="paragraph" w:styleId="Title">
    <w:name w:val="Title"/>
    <w:basedOn w:val="Normal"/>
    <w:next w:val="Normal"/>
    <w:link w:val="TitleChar"/>
    <w:uiPriority w:val="10"/>
    <w:qFormat/>
    <w:rsid w:val="00FA73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736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A736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A7362"/>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semiHidden/>
    <w:unhideWhenUsed/>
    <w:rsid w:val="00E063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634D"/>
    <w:rPr>
      <w:sz w:val="20"/>
      <w:szCs w:val="20"/>
    </w:rPr>
  </w:style>
  <w:style w:type="character" w:styleId="FootnoteReference">
    <w:name w:val="footnote reference"/>
    <w:basedOn w:val="DefaultParagraphFont"/>
    <w:uiPriority w:val="99"/>
    <w:unhideWhenUsed/>
    <w:rsid w:val="00E0634D"/>
    <w:rPr>
      <w:vertAlign w:val="superscript"/>
    </w:rPr>
  </w:style>
  <w:style w:type="paragraph" w:styleId="Header">
    <w:name w:val="header"/>
    <w:basedOn w:val="Normal"/>
    <w:link w:val="HeaderChar"/>
    <w:uiPriority w:val="99"/>
    <w:unhideWhenUsed/>
    <w:rsid w:val="00BB29AA"/>
    <w:pPr>
      <w:tabs>
        <w:tab w:val="center" w:pos="4536"/>
        <w:tab w:val="right" w:pos="9072"/>
      </w:tabs>
      <w:spacing w:after="0" w:line="240" w:lineRule="auto"/>
    </w:pPr>
  </w:style>
  <w:style w:type="character" w:customStyle="1" w:styleId="HeaderChar">
    <w:name w:val="Header Char"/>
    <w:basedOn w:val="DefaultParagraphFont"/>
    <w:link w:val="Header"/>
    <w:uiPriority w:val="99"/>
    <w:rsid w:val="00BB29AA"/>
  </w:style>
  <w:style w:type="paragraph" w:styleId="Footer">
    <w:name w:val="footer"/>
    <w:basedOn w:val="Normal"/>
    <w:link w:val="FooterChar"/>
    <w:uiPriority w:val="99"/>
    <w:unhideWhenUsed/>
    <w:rsid w:val="00BB29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BB29AA"/>
  </w:style>
  <w:style w:type="character" w:customStyle="1" w:styleId="outputecli">
    <w:name w:val="outputecli"/>
    <w:basedOn w:val="DefaultParagraphFont"/>
    <w:rsid w:val="001C3BE8"/>
  </w:style>
  <w:style w:type="character" w:customStyle="1" w:styleId="Heading3Char">
    <w:name w:val="Heading 3 Char"/>
    <w:basedOn w:val="DefaultParagraphFont"/>
    <w:link w:val="Heading3"/>
    <w:uiPriority w:val="9"/>
    <w:rsid w:val="00EE5934"/>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621D2"/>
    <w:rPr>
      <w:color w:val="0563C1" w:themeColor="hyperlink"/>
      <w:u w:val="single"/>
    </w:rPr>
  </w:style>
  <w:style w:type="character" w:customStyle="1" w:styleId="outputecliaff">
    <w:name w:val="outputecliaff"/>
    <w:basedOn w:val="DefaultParagraphFont"/>
    <w:rsid w:val="00063C1E"/>
  </w:style>
  <w:style w:type="paragraph" w:styleId="BalloonText">
    <w:name w:val="Balloon Text"/>
    <w:basedOn w:val="Normal"/>
    <w:link w:val="BalloonTextChar"/>
    <w:uiPriority w:val="99"/>
    <w:semiHidden/>
    <w:unhideWhenUsed/>
    <w:rsid w:val="00AB021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021B"/>
    <w:rPr>
      <w:rFonts w:ascii="Lucida Grande" w:hAnsi="Lucida Grande" w:cs="Lucida Grande"/>
      <w:sz w:val="18"/>
      <w:szCs w:val="18"/>
    </w:rPr>
  </w:style>
  <w:style w:type="paragraph" w:styleId="NoSpacing">
    <w:name w:val="No Spacing"/>
    <w:uiPriority w:val="1"/>
    <w:qFormat/>
    <w:rsid w:val="00AB021B"/>
    <w:pPr>
      <w:spacing w:after="0" w:line="240" w:lineRule="auto"/>
      <w:jc w:val="both"/>
    </w:pPr>
    <w:rPr>
      <w:rFonts w:ascii="Times New Roman" w:hAnsi="Times New Roman"/>
    </w:rPr>
  </w:style>
  <w:style w:type="paragraph" w:styleId="EndnoteText">
    <w:name w:val="endnote text"/>
    <w:basedOn w:val="Normal"/>
    <w:link w:val="EndnoteTextChar"/>
    <w:uiPriority w:val="99"/>
    <w:unhideWhenUsed/>
    <w:rsid w:val="002E0BF1"/>
    <w:pPr>
      <w:spacing w:after="0" w:line="240" w:lineRule="auto"/>
    </w:pPr>
    <w:rPr>
      <w:sz w:val="24"/>
      <w:szCs w:val="24"/>
    </w:rPr>
  </w:style>
  <w:style w:type="character" w:customStyle="1" w:styleId="EndnoteTextChar">
    <w:name w:val="Endnote Text Char"/>
    <w:basedOn w:val="DefaultParagraphFont"/>
    <w:link w:val="EndnoteText"/>
    <w:uiPriority w:val="99"/>
    <w:rsid w:val="002E0BF1"/>
    <w:rPr>
      <w:rFonts w:ascii="Times New Roman" w:hAnsi="Times New Roman"/>
      <w:sz w:val="24"/>
      <w:szCs w:val="24"/>
    </w:rPr>
  </w:style>
  <w:style w:type="character" w:styleId="EndnoteReference">
    <w:name w:val="endnote reference"/>
    <w:basedOn w:val="DefaultParagraphFont"/>
    <w:uiPriority w:val="99"/>
    <w:unhideWhenUsed/>
    <w:rsid w:val="002E0BF1"/>
    <w:rPr>
      <w:vertAlign w:val="superscript"/>
    </w:rPr>
  </w:style>
  <w:style w:type="paragraph" w:styleId="TOC1">
    <w:name w:val="toc 1"/>
    <w:basedOn w:val="Normal"/>
    <w:next w:val="Normal"/>
    <w:autoRedefine/>
    <w:uiPriority w:val="39"/>
    <w:unhideWhenUsed/>
    <w:rsid w:val="002E0BF1"/>
    <w:pPr>
      <w:spacing w:before="120" w:after="0"/>
      <w:jc w:val="left"/>
    </w:pPr>
    <w:rPr>
      <w:rFonts w:asciiTheme="majorHAnsi" w:hAnsiTheme="majorHAnsi" w:cstheme="majorHAnsi"/>
      <w:b/>
      <w:color w:val="548DD4"/>
      <w:sz w:val="24"/>
      <w:szCs w:val="24"/>
    </w:rPr>
  </w:style>
  <w:style w:type="paragraph" w:styleId="TOC2">
    <w:name w:val="toc 2"/>
    <w:basedOn w:val="Normal"/>
    <w:next w:val="Normal"/>
    <w:autoRedefine/>
    <w:uiPriority w:val="39"/>
    <w:unhideWhenUsed/>
    <w:rsid w:val="002E0BF1"/>
    <w:pPr>
      <w:spacing w:after="0"/>
      <w:jc w:val="left"/>
    </w:pPr>
    <w:rPr>
      <w:rFonts w:asciiTheme="minorHAnsi" w:hAnsiTheme="minorHAnsi"/>
    </w:rPr>
  </w:style>
  <w:style w:type="paragraph" w:styleId="TOC3">
    <w:name w:val="toc 3"/>
    <w:basedOn w:val="Normal"/>
    <w:next w:val="Normal"/>
    <w:autoRedefine/>
    <w:uiPriority w:val="39"/>
    <w:unhideWhenUsed/>
    <w:rsid w:val="002E0BF1"/>
    <w:pPr>
      <w:spacing w:after="0"/>
      <w:ind w:left="220"/>
      <w:jc w:val="left"/>
    </w:pPr>
    <w:rPr>
      <w:rFonts w:asciiTheme="minorHAnsi" w:hAnsiTheme="minorHAnsi"/>
      <w:i/>
    </w:rPr>
  </w:style>
  <w:style w:type="paragraph" w:styleId="TOC4">
    <w:name w:val="toc 4"/>
    <w:basedOn w:val="Normal"/>
    <w:next w:val="Normal"/>
    <w:autoRedefine/>
    <w:uiPriority w:val="39"/>
    <w:unhideWhenUsed/>
    <w:rsid w:val="002E0BF1"/>
    <w:pPr>
      <w:pBdr>
        <w:between w:val="double" w:sz="6" w:space="0" w:color="auto"/>
      </w:pBdr>
      <w:spacing w:after="0"/>
      <w:ind w:left="440"/>
      <w:jc w:val="left"/>
    </w:pPr>
    <w:rPr>
      <w:rFonts w:asciiTheme="minorHAnsi" w:hAnsiTheme="minorHAnsi"/>
      <w:sz w:val="20"/>
      <w:szCs w:val="20"/>
    </w:rPr>
  </w:style>
  <w:style w:type="paragraph" w:styleId="TOC5">
    <w:name w:val="toc 5"/>
    <w:basedOn w:val="Normal"/>
    <w:next w:val="Normal"/>
    <w:autoRedefine/>
    <w:uiPriority w:val="39"/>
    <w:unhideWhenUsed/>
    <w:rsid w:val="002E0BF1"/>
    <w:pPr>
      <w:pBdr>
        <w:between w:val="double" w:sz="6" w:space="0" w:color="auto"/>
      </w:pBdr>
      <w:spacing w:after="0"/>
      <w:ind w:left="660"/>
      <w:jc w:val="left"/>
    </w:pPr>
    <w:rPr>
      <w:rFonts w:asciiTheme="minorHAnsi" w:hAnsiTheme="minorHAnsi"/>
      <w:sz w:val="20"/>
      <w:szCs w:val="20"/>
    </w:rPr>
  </w:style>
  <w:style w:type="paragraph" w:styleId="TOC6">
    <w:name w:val="toc 6"/>
    <w:basedOn w:val="Normal"/>
    <w:next w:val="Normal"/>
    <w:autoRedefine/>
    <w:uiPriority w:val="39"/>
    <w:unhideWhenUsed/>
    <w:rsid w:val="002E0BF1"/>
    <w:pPr>
      <w:pBdr>
        <w:between w:val="double" w:sz="6" w:space="0" w:color="auto"/>
      </w:pBdr>
      <w:spacing w:after="0"/>
      <w:ind w:left="880"/>
      <w:jc w:val="left"/>
    </w:pPr>
    <w:rPr>
      <w:rFonts w:asciiTheme="minorHAnsi" w:hAnsiTheme="minorHAnsi"/>
      <w:sz w:val="20"/>
      <w:szCs w:val="20"/>
    </w:rPr>
  </w:style>
  <w:style w:type="paragraph" w:styleId="TOC7">
    <w:name w:val="toc 7"/>
    <w:basedOn w:val="Normal"/>
    <w:next w:val="Normal"/>
    <w:autoRedefine/>
    <w:uiPriority w:val="39"/>
    <w:unhideWhenUsed/>
    <w:rsid w:val="002E0BF1"/>
    <w:pPr>
      <w:pBdr>
        <w:between w:val="double" w:sz="6" w:space="0" w:color="auto"/>
      </w:pBdr>
      <w:spacing w:after="0"/>
      <w:ind w:left="1100"/>
      <w:jc w:val="left"/>
    </w:pPr>
    <w:rPr>
      <w:rFonts w:asciiTheme="minorHAnsi" w:hAnsiTheme="minorHAnsi"/>
      <w:sz w:val="20"/>
      <w:szCs w:val="20"/>
    </w:rPr>
  </w:style>
  <w:style w:type="paragraph" w:styleId="TOC8">
    <w:name w:val="toc 8"/>
    <w:basedOn w:val="Normal"/>
    <w:next w:val="Normal"/>
    <w:autoRedefine/>
    <w:uiPriority w:val="39"/>
    <w:unhideWhenUsed/>
    <w:rsid w:val="002E0BF1"/>
    <w:pPr>
      <w:pBdr>
        <w:between w:val="double" w:sz="6" w:space="0" w:color="auto"/>
      </w:pBdr>
      <w:spacing w:after="0"/>
      <w:ind w:left="1320"/>
      <w:jc w:val="left"/>
    </w:pPr>
    <w:rPr>
      <w:rFonts w:asciiTheme="minorHAnsi" w:hAnsiTheme="minorHAnsi"/>
      <w:sz w:val="20"/>
      <w:szCs w:val="20"/>
    </w:rPr>
  </w:style>
  <w:style w:type="paragraph" w:styleId="TOC9">
    <w:name w:val="toc 9"/>
    <w:basedOn w:val="Normal"/>
    <w:next w:val="Normal"/>
    <w:autoRedefine/>
    <w:uiPriority w:val="39"/>
    <w:unhideWhenUsed/>
    <w:rsid w:val="002E0BF1"/>
    <w:pPr>
      <w:pBdr>
        <w:between w:val="double" w:sz="6" w:space="0" w:color="auto"/>
      </w:pBdr>
      <w:spacing w:after="0"/>
      <w:ind w:left="1540"/>
      <w:jc w:val="left"/>
    </w:pPr>
    <w:rPr>
      <w:rFonts w:asciiTheme="minorHAnsi" w:hAnsiTheme="minorHAnsi"/>
      <w:sz w:val="20"/>
      <w:szCs w:val="20"/>
    </w:rPr>
  </w:style>
  <w:style w:type="character" w:styleId="Emphasis">
    <w:name w:val="Emphasis"/>
    <w:basedOn w:val="DefaultParagraphFont"/>
    <w:uiPriority w:val="20"/>
    <w:qFormat/>
    <w:rsid w:val="00DE6C5C"/>
    <w:rPr>
      <w:i/>
      <w:iCs/>
    </w:rPr>
  </w:style>
  <w:style w:type="character" w:styleId="PageNumber">
    <w:name w:val="page number"/>
    <w:basedOn w:val="DefaultParagraphFont"/>
    <w:uiPriority w:val="99"/>
    <w:semiHidden/>
    <w:unhideWhenUsed/>
    <w:rsid w:val="00F119BA"/>
  </w:style>
  <w:style w:type="paragraph" w:styleId="TOCHeading">
    <w:name w:val="TOC Heading"/>
    <w:basedOn w:val="Heading1"/>
    <w:next w:val="Normal"/>
    <w:uiPriority w:val="39"/>
    <w:unhideWhenUsed/>
    <w:qFormat/>
    <w:rsid w:val="00F119BA"/>
    <w:pPr>
      <w:spacing w:before="480" w:line="276" w:lineRule="auto"/>
      <w:jc w:val="left"/>
      <w:outlineLvl w:val="9"/>
    </w:pPr>
    <w:rPr>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929330">
      <w:bodyDiv w:val="1"/>
      <w:marLeft w:val="0"/>
      <w:marRight w:val="0"/>
      <w:marTop w:val="0"/>
      <w:marBottom w:val="0"/>
      <w:divBdr>
        <w:top w:val="none" w:sz="0" w:space="0" w:color="auto"/>
        <w:left w:val="none" w:sz="0" w:space="0" w:color="auto"/>
        <w:bottom w:val="none" w:sz="0" w:space="0" w:color="auto"/>
        <w:right w:val="none" w:sz="0" w:space="0" w:color="auto"/>
      </w:divBdr>
    </w:div>
    <w:div w:id="179077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gegap.e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hyperlink" Target="http://www.agegap.e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370882863EBF469C6EDE41242052B1"/>
        <w:category>
          <w:name w:val="General"/>
          <w:gallery w:val="placeholder"/>
        </w:category>
        <w:types>
          <w:type w:val="bbPlcHdr"/>
        </w:types>
        <w:behaviors>
          <w:behavior w:val="content"/>
        </w:behaviors>
        <w:guid w:val="{DCD279AC-6843-1545-8752-B43E1516ECCF}"/>
      </w:docPartPr>
      <w:docPartBody>
        <w:p w:rsidR="00A67AC6" w:rsidRDefault="00A67AC6" w:rsidP="00A67AC6">
          <w:pPr>
            <w:pStyle w:val="2A370882863EBF469C6EDE41242052B1"/>
          </w:pPr>
          <w:r>
            <w:t>[Type text]</w:t>
          </w:r>
        </w:p>
      </w:docPartBody>
    </w:docPart>
    <w:docPart>
      <w:docPartPr>
        <w:name w:val="8719FB57BBE2F04BA060DE95B1B2DDEA"/>
        <w:category>
          <w:name w:val="General"/>
          <w:gallery w:val="placeholder"/>
        </w:category>
        <w:types>
          <w:type w:val="bbPlcHdr"/>
        </w:types>
        <w:behaviors>
          <w:behavior w:val="content"/>
        </w:behaviors>
        <w:guid w:val="{090F81C3-050E-3145-823E-601F72DEEBF4}"/>
      </w:docPartPr>
      <w:docPartBody>
        <w:p w:rsidR="00A67AC6" w:rsidRDefault="00A67AC6" w:rsidP="00A67AC6">
          <w:pPr>
            <w:pStyle w:val="8719FB57BBE2F04BA060DE95B1B2DDEA"/>
          </w:pPr>
          <w:r>
            <w:t>[Type text]</w:t>
          </w:r>
        </w:p>
      </w:docPartBody>
    </w:docPart>
    <w:docPart>
      <w:docPartPr>
        <w:name w:val="019BE8E96573014D9F544DD392C5FAE3"/>
        <w:category>
          <w:name w:val="General"/>
          <w:gallery w:val="placeholder"/>
        </w:category>
        <w:types>
          <w:type w:val="bbPlcHdr"/>
        </w:types>
        <w:behaviors>
          <w:behavior w:val="content"/>
        </w:behaviors>
        <w:guid w:val="{7B57E2F2-F20E-694B-957D-65A983FE9728}"/>
      </w:docPartPr>
      <w:docPartBody>
        <w:p w:rsidR="00A67AC6" w:rsidRDefault="00A67AC6" w:rsidP="00A67AC6">
          <w:pPr>
            <w:pStyle w:val="019BE8E96573014D9F544DD392C5FAE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718 Medium">
    <w:altName w:val="Trebuchet MS"/>
    <w:charset w:val="00"/>
    <w:family w:val="auto"/>
    <w:pitch w:val="variable"/>
    <w:sig w:usb0="00000001" w:usb1="0000044B" w:usb2="00000000" w:usb3="00000000" w:csb0="00000093"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7AC6"/>
    <w:rsid w:val="000567CF"/>
    <w:rsid w:val="000B117C"/>
    <w:rsid w:val="00496667"/>
    <w:rsid w:val="00995250"/>
    <w:rsid w:val="00A67AC6"/>
    <w:rsid w:val="00FE2D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370882863EBF469C6EDE41242052B1">
    <w:name w:val="2A370882863EBF469C6EDE41242052B1"/>
    <w:rsid w:val="00A67AC6"/>
  </w:style>
  <w:style w:type="paragraph" w:customStyle="1" w:styleId="8719FB57BBE2F04BA060DE95B1B2DDEA">
    <w:name w:val="8719FB57BBE2F04BA060DE95B1B2DDEA"/>
    <w:rsid w:val="00A67AC6"/>
  </w:style>
  <w:style w:type="paragraph" w:customStyle="1" w:styleId="019BE8E96573014D9F544DD392C5FAE3">
    <w:name w:val="019BE8E96573014D9F544DD392C5FAE3"/>
    <w:rsid w:val="00A67A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Schiek2011</b:Tag>
    <b:RefOrder>1</b:RefOrder>
  </b:Source>
</b:Sources>
</file>

<file path=customXml/itemProps1.xml><?xml version="1.0" encoding="utf-8"?>
<ds:datastoreItem xmlns:ds="http://schemas.openxmlformats.org/officeDocument/2006/customXml" ds:itemID="{4797161B-632B-4FC0-A7B7-3E3E9183A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3545</Words>
  <Characters>20211</Characters>
  <Application>Microsoft Office Word</Application>
  <DocSecurity>0</DocSecurity>
  <Lines>168</Lines>
  <Paragraphs>47</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Hungler Sára</dc:creator>
  <cp:lastModifiedBy>Biserka Sladović</cp:lastModifiedBy>
  <cp:revision>3</cp:revision>
  <cp:lastPrinted>2020-12-09T09:43:00Z</cp:lastPrinted>
  <dcterms:created xsi:type="dcterms:W3CDTF">2021-06-21T13:24:00Z</dcterms:created>
  <dcterms:modified xsi:type="dcterms:W3CDTF">2021-06-30T11:41:00Z</dcterms:modified>
</cp:coreProperties>
</file>