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02CE" w14:textId="77777777" w:rsidR="00131628" w:rsidRPr="007E1E30" w:rsidRDefault="00131628" w:rsidP="00131628">
      <w:pPr>
        <w:spacing w:before="120" w:after="120"/>
        <w:jc w:val="center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INFORMACIJA O</w:t>
      </w:r>
      <w:r w:rsidRPr="007E1E30">
        <w:rPr>
          <w:rFonts w:asciiTheme="majorHAnsi" w:hAnsiTheme="majorHAnsi"/>
          <w:b/>
          <w:lang w:val="hr-HR"/>
        </w:rPr>
        <w:t xml:space="preserve"> OZNAČAVANJ</w:t>
      </w:r>
      <w:r>
        <w:rPr>
          <w:rFonts w:asciiTheme="majorHAnsi" w:hAnsiTheme="majorHAnsi"/>
          <w:b/>
          <w:lang w:val="hr-HR"/>
        </w:rPr>
        <w:t>U</w:t>
      </w:r>
      <w:r w:rsidRPr="007E1E30">
        <w:rPr>
          <w:rFonts w:asciiTheme="majorHAnsi" w:hAnsiTheme="majorHAnsi"/>
          <w:b/>
          <w:lang w:val="hr-HR"/>
        </w:rPr>
        <w:t xml:space="preserve"> GORIVA – CESTOVN</w:t>
      </w:r>
      <w:r>
        <w:rPr>
          <w:rFonts w:asciiTheme="majorHAnsi" w:hAnsiTheme="majorHAnsi"/>
          <w:b/>
          <w:lang w:val="hr-HR"/>
        </w:rPr>
        <w:t>IH</w:t>
      </w:r>
      <w:r w:rsidRPr="007E1E30">
        <w:rPr>
          <w:rFonts w:asciiTheme="majorHAnsi" w:hAnsiTheme="majorHAnsi"/>
          <w:b/>
          <w:lang w:val="hr-HR"/>
        </w:rPr>
        <w:t xml:space="preserve"> VOZILA</w:t>
      </w:r>
    </w:p>
    <w:p w14:paraId="55646556" w14:textId="77777777" w:rsidR="00131628" w:rsidRPr="0091087D" w:rsidRDefault="00131628" w:rsidP="00131628">
      <w:pPr>
        <w:spacing w:before="120" w:after="120"/>
        <w:jc w:val="center"/>
        <w:rPr>
          <w:rFonts w:asciiTheme="majorHAnsi" w:hAnsiTheme="majorHAnsi"/>
          <w:b/>
          <w:lang w:val="hr-HR"/>
        </w:rPr>
      </w:pPr>
      <w:r w:rsidRPr="0091087D">
        <w:rPr>
          <w:rFonts w:asciiTheme="majorHAnsi" w:hAnsiTheme="majorHAnsi"/>
          <w:b/>
          <w:lang w:val="hr-HR"/>
        </w:rPr>
        <w:t>ZA POTROŠAČE</w:t>
      </w:r>
    </w:p>
    <w:p w14:paraId="07907F8B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</w:p>
    <w:p w14:paraId="4D79AF2B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Opće informacije</w:t>
      </w:r>
      <w:r w:rsidRPr="007E1E30">
        <w:rPr>
          <w:rFonts w:asciiTheme="majorHAnsi" w:hAnsiTheme="majorHAnsi"/>
          <w:b/>
          <w:lang w:val="hr-HR"/>
        </w:rPr>
        <w:t>:</w:t>
      </w:r>
    </w:p>
    <w:p w14:paraId="5041DCE3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  <w:r w:rsidRPr="007E1E30">
        <w:rPr>
          <w:rFonts w:asciiTheme="majorHAnsi" w:hAnsiTheme="majorHAnsi"/>
          <w:lang w:val="hr-HR"/>
        </w:rPr>
        <w:t xml:space="preserve">Kako bi se potrošačima pomoglo prilikom odabira odgovarajućeg goriva za njihova vozila diljem Europe, Europska unija odredila </w:t>
      </w:r>
      <w:r>
        <w:rPr>
          <w:rFonts w:asciiTheme="majorHAnsi" w:hAnsiTheme="majorHAnsi"/>
          <w:lang w:val="hr-HR"/>
        </w:rPr>
        <w:t xml:space="preserve">je </w:t>
      </w:r>
      <w:r w:rsidRPr="007E1E30">
        <w:rPr>
          <w:rFonts w:asciiTheme="majorHAnsi" w:hAnsiTheme="majorHAnsi"/>
          <w:lang w:val="hr-HR"/>
        </w:rPr>
        <w:t xml:space="preserve">nove </w:t>
      </w:r>
      <w:r>
        <w:rPr>
          <w:rFonts w:asciiTheme="majorHAnsi" w:hAnsiTheme="majorHAnsi"/>
          <w:lang w:val="hr-HR"/>
        </w:rPr>
        <w:t>zahtjeve za označavanje za novo</w:t>
      </w:r>
      <w:r w:rsidRPr="007E1E30">
        <w:rPr>
          <w:rFonts w:asciiTheme="majorHAnsi" w:hAnsiTheme="majorHAnsi"/>
          <w:lang w:val="hr-HR"/>
        </w:rPr>
        <w:t xml:space="preserve">proizvedena vozila i postaje za punjenje goriva. Od listopada 2018.g., diljem Europe će se pojaviti nove jedinstvene i usklađene oznake za goriva.  </w:t>
      </w:r>
    </w:p>
    <w:p w14:paraId="09C3C942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Takve oznake će se postavljati</w:t>
      </w:r>
      <w:r w:rsidRPr="007E1E30">
        <w:rPr>
          <w:rFonts w:asciiTheme="majorHAnsi" w:hAnsiTheme="majorHAnsi"/>
          <w:lang w:val="hr-HR"/>
        </w:rPr>
        <w:t>:</w:t>
      </w:r>
    </w:p>
    <w:p w14:paraId="370CA5D2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 w:rsidRPr="007E1E30">
        <w:rPr>
          <w:rFonts w:asciiTheme="majorHAnsi" w:hAnsiTheme="majorHAnsi"/>
          <w:lang w:val="hr-HR"/>
        </w:rPr>
        <w:t>na novoproizvedena vozila, u neposrednoj blizini poklopca/čepa spremnika za gorivo;</w:t>
      </w:r>
    </w:p>
    <w:p w14:paraId="7B422FA5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 w:rsidRPr="007E1E30">
        <w:rPr>
          <w:rFonts w:asciiTheme="majorHAnsi" w:hAnsiTheme="majorHAnsi"/>
          <w:lang w:val="hr-HR"/>
        </w:rPr>
        <w:t xml:space="preserve">u priručniku vlasnika vozila. U slučaju novijih vozila, moguće ih je uključiti i u elektronički priručnik dostupan preko </w:t>
      </w:r>
      <w:r w:rsidRPr="007E1E30">
        <w:rPr>
          <w:rFonts w:asciiTheme="majorHAnsi" w:hAnsiTheme="majorHAnsi"/>
          <w:bCs/>
          <w:lang w:val="hr-HR"/>
        </w:rPr>
        <w:t>informativno</w:t>
      </w:r>
      <w:r w:rsidRPr="007E1E30">
        <w:rPr>
          <w:rFonts w:asciiTheme="majorHAnsi" w:hAnsiTheme="majorHAnsi"/>
          <w:lang w:val="hr-HR"/>
        </w:rPr>
        <w:t>-</w:t>
      </w:r>
      <w:r w:rsidRPr="007E1E30">
        <w:rPr>
          <w:rFonts w:asciiTheme="majorHAnsi" w:hAnsiTheme="majorHAnsi"/>
          <w:bCs/>
          <w:lang w:val="hr-HR"/>
        </w:rPr>
        <w:t>zabavnog sustava</w:t>
      </w:r>
      <w:r w:rsidRPr="007E1E30">
        <w:rPr>
          <w:rFonts w:asciiTheme="majorHAnsi" w:hAnsiTheme="majorHAnsi"/>
          <w:lang w:val="hr-HR"/>
        </w:rPr>
        <w:t xml:space="preserve"> vozila; </w:t>
      </w:r>
    </w:p>
    <w:p w14:paraId="352ABC49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 w:rsidRPr="00535604">
        <w:rPr>
          <w:rFonts w:asciiTheme="majorHAnsi" w:hAnsiTheme="majorHAnsi"/>
          <w:lang w:val="hr-HR"/>
        </w:rPr>
        <w:t>na svim javnim postajama za punjenje vozila na mjernim uređajima za prodaju goriva i na pipcima za gorivo</w:t>
      </w:r>
      <w:r w:rsidRPr="007E1E30">
        <w:rPr>
          <w:rFonts w:asciiTheme="majorHAnsi" w:hAnsiTheme="majorHAnsi"/>
          <w:lang w:val="hr-HR"/>
        </w:rPr>
        <w:t>;</w:t>
      </w:r>
    </w:p>
    <w:p w14:paraId="4386135D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b/>
          <w:lang w:val="hr-HR"/>
        </w:rPr>
      </w:pPr>
      <w:r w:rsidRPr="007E1E30">
        <w:rPr>
          <w:rFonts w:asciiTheme="majorHAnsi" w:hAnsiTheme="majorHAnsi"/>
          <w:lang w:val="hr-HR"/>
        </w:rPr>
        <w:t>kod distributera vozila.</w:t>
      </w:r>
    </w:p>
    <w:p w14:paraId="09A19E45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 w:rsidRPr="007E1E30">
        <w:rPr>
          <w:rFonts w:asciiTheme="majorHAnsi" w:hAnsiTheme="majorHAnsi"/>
          <w:b/>
          <w:lang w:val="hr-HR"/>
        </w:rPr>
        <w:t>Koja vozila podliježu predmetnom zahtjevu za označavanje?</w:t>
      </w:r>
    </w:p>
    <w:p w14:paraId="18417B7C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  <w:r w:rsidRPr="007E1E30">
        <w:rPr>
          <w:rFonts w:asciiTheme="majorHAnsi" w:hAnsiTheme="majorHAnsi"/>
          <w:lang w:val="hr-HR"/>
        </w:rPr>
        <w:t>U odn</w:t>
      </w:r>
      <w:r>
        <w:rPr>
          <w:rFonts w:asciiTheme="majorHAnsi" w:hAnsiTheme="majorHAnsi"/>
          <w:lang w:val="hr-HR"/>
        </w:rPr>
        <w:t>o</w:t>
      </w:r>
      <w:r w:rsidRPr="007E1E30">
        <w:rPr>
          <w:rFonts w:asciiTheme="majorHAnsi" w:hAnsiTheme="majorHAnsi"/>
          <w:lang w:val="hr-HR"/>
        </w:rPr>
        <w:t>su na cestovna vozila, o</w:t>
      </w:r>
      <w:r>
        <w:rPr>
          <w:rFonts w:asciiTheme="majorHAnsi" w:hAnsiTheme="majorHAnsi"/>
          <w:lang w:val="hr-HR"/>
        </w:rPr>
        <w:t>znake će se postavljati na novo</w:t>
      </w:r>
      <w:r w:rsidRPr="007E1E30">
        <w:rPr>
          <w:rFonts w:asciiTheme="majorHAnsi" w:hAnsiTheme="majorHAnsi"/>
          <w:lang w:val="hr-HR"/>
        </w:rPr>
        <w:t>proizvedene:</w:t>
      </w:r>
    </w:p>
    <w:p w14:paraId="232B034A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m</w:t>
      </w:r>
      <w:r w:rsidRPr="007E1E30">
        <w:rPr>
          <w:rFonts w:asciiTheme="majorHAnsi" w:hAnsiTheme="majorHAnsi"/>
          <w:lang w:val="hr-HR"/>
        </w:rPr>
        <w:t xml:space="preserve">opede, motocikle, tricikle i </w:t>
      </w:r>
      <w:proofErr w:type="spellStart"/>
      <w:r w:rsidRPr="007E1E30">
        <w:rPr>
          <w:rFonts w:asciiTheme="majorHAnsi" w:hAnsiTheme="majorHAnsi"/>
          <w:lang w:val="hr-HR"/>
        </w:rPr>
        <w:t>kvadricikle</w:t>
      </w:r>
      <w:proofErr w:type="spellEnd"/>
      <w:r w:rsidRPr="007E1E30">
        <w:rPr>
          <w:rFonts w:asciiTheme="majorHAnsi" w:hAnsiTheme="majorHAnsi"/>
          <w:lang w:val="hr-HR"/>
        </w:rPr>
        <w:t>;</w:t>
      </w:r>
    </w:p>
    <w:p w14:paraId="4429ED0C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osobne automobile</w:t>
      </w:r>
      <w:r w:rsidRPr="007E1E30">
        <w:rPr>
          <w:rFonts w:asciiTheme="majorHAnsi" w:hAnsiTheme="majorHAnsi"/>
          <w:lang w:val="hr-HR"/>
        </w:rPr>
        <w:t>;</w:t>
      </w:r>
    </w:p>
    <w:p w14:paraId="1777C3EC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laka gospodarska vozila</w:t>
      </w:r>
      <w:r w:rsidRPr="007E1E30">
        <w:rPr>
          <w:rFonts w:asciiTheme="majorHAnsi" w:hAnsiTheme="majorHAnsi"/>
          <w:lang w:val="hr-HR"/>
        </w:rPr>
        <w:t>;</w:t>
      </w:r>
    </w:p>
    <w:p w14:paraId="68A3F10D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teška gospodarska vozila</w:t>
      </w:r>
      <w:r w:rsidRPr="007E1E30">
        <w:rPr>
          <w:rFonts w:asciiTheme="majorHAnsi" w:hAnsiTheme="majorHAnsi"/>
          <w:lang w:val="hr-HR"/>
        </w:rPr>
        <w:t>;</w:t>
      </w:r>
    </w:p>
    <w:p w14:paraId="74636207" w14:textId="77777777" w:rsidR="00131628" w:rsidRPr="007E1E30" w:rsidRDefault="00131628" w:rsidP="00131628">
      <w:pPr>
        <w:pStyle w:val="ListParagraph"/>
        <w:numPr>
          <w:ilvl w:val="0"/>
          <w:numId w:val="23"/>
        </w:numPr>
        <w:spacing w:before="120" w:after="120"/>
        <w:ind w:left="357" w:hanging="357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lang w:val="hr-HR"/>
        </w:rPr>
        <w:t>obične i putničke autobuse</w:t>
      </w:r>
      <w:r w:rsidRPr="007E1E30">
        <w:rPr>
          <w:rFonts w:asciiTheme="majorHAnsi" w:hAnsiTheme="majorHAnsi"/>
          <w:lang w:val="hr-HR"/>
        </w:rPr>
        <w:t>.</w:t>
      </w:r>
    </w:p>
    <w:p w14:paraId="23B48C5F" w14:textId="77777777" w:rsidR="00131628" w:rsidRDefault="00131628" w:rsidP="00131628">
      <w:pPr>
        <w:spacing w:before="120" w:after="120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Podliježu li obvezi vozila svih starosti?</w:t>
      </w:r>
    </w:p>
    <w:p w14:paraId="6079ECA8" w14:textId="77777777" w:rsidR="00131628" w:rsidRPr="001F6664" w:rsidRDefault="00131628" w:rsidP="00131628">
      <w:pPr>
        <w:spacing w:before="120" w:after="120"/>
        <w:rPr>
          <w:rFonts w:asciiTheme="majorHAnsi" w:hAnsiTheme="majorHAnsi"/>
          <w:lang w:val="hr-HR"/>
        </w:rPr>
      </w:pPr>
      <w:r w:rsidRPr="001F6664">
        <w:rPr>
          <w:rFonts w:asciiTheme="majorHAnsi" w:hAnsiTheme="majorHAnsi"/>
          <w:lang w:val="hr-HR"/>
        </w:rPr>
        <w:t xml:space="preserve">Ne. </w:t>
      </w:r>
      <w:r>
        <w:rPr>
          <w:rFonts w:asciiTheme="majorHAnsi" w:hAnsiTheme="majorHAnsi"/>
          <w:lang w:val="hr-HR"/>
        </w:rPr>
        <w:t xml:space="preserve">Sukladno europskim propisima, oznake će se postavljati samo na nova vozila stavljena na tržište ili registrirana od 12. listopada 2018. – „novoproizvedena vozila“. </w:t>
      </w:r>
    </w:p>
    <w:p w14:paraId="4078C232" w14:textId="77777777" w:rsidR="00131628" w:rsidRPr="001F6664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Proizvođači vozila ne preporučaju postavljanje oznaka na starija vozila. Molimo kontaktirajte svojeg lokalnog distributera ako trebate savjet o tome koje gorivo se preporuča za Vaše vozilo. </w:t>
      </w:r>
    </w:p>
    <w:p w14:paraId="73BED7D8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 w:rsidRPr="001F6664">
        <w:rPr>
          <w:rFonts w:asciiTheme="majorHAnsi" w:hAnsiTheme="majorHAnsi"/>
          <w:b/>
          <w:lang w:val="hr-HR"/>
        </w:rPr>
        <w:t>Kada će predmetne oznake biti vidljive u državama članicam</w:t>
      </w:r>
      <w:r>
        <w:rPr>
          <w:rFonts w:asciiTheme="majorHAnsi" w:hAnsiTheme="majorHAnsi"/>
          <w:b/>
          <w:lang w:val="hr-HR"/>
        </w:rPr>
        <w:t>a</w:t>
      </w:r>
      <w:r w:rsidRPr="001F6664">
        <w:rPr>
          <w:rFonts w:asciiTheme="majorHAnsi" w:hAnsiTheme="majorHAnsi"/>
          <w:b/>
          <w:lang w:val="hr-HR"/>
        </w:rPr>
        <w:t xml:space="preserve"> EU?</w:t>
      </w:r>
      <w:r>
        <w:rPr>
          <w:rFonts w:asciiTheme="majorHAnsi" w:hAnsiTheme="majorHAnsi"/>
          <w:lang w:val="hr-HR"/>
        </w:rPr>
        <w:t xml:space="preserve"> </w:t>
      </w:r>
    </w:p>
    <w:p w14:paraId="7B6B77F2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Oznake će se stavljati na novoproizvedena vozila i na postaje za punjenje benzina, dizela, vodika (H2), stlačenog prirodnog plina (SPP-CNG), ukapljenog prirodnog plina (UPP/LNG) i ukapljenog naftnog plina (UNP/LPG) na svim postajama za punjenje </w:t>
      </w:r>
      <w:r>
        <w:rPr>
          <w:rFonts w:asciiTheme="majorHAnsi" w:hAnsiTheme="majorHAnsi"/>
          <w:lang w:val="hr-HR"/>
        </w:rPr>
        <w:lastRenderedPageBreak/>
        <w:t xml:space="preserve">goriva u Europskoj uniji, na način da su iste potrošačima jasne i vidljive, </w:t>
      </w:r>
      <w:r w:rsidRPr="00896447">
        <w:rPr>
          <w:rFonts w:asciiTheme="majorHAnsi" w:hAnsiTheme="majorHAnsi"/>
          <w:b/>
          <w:lang w:val="hr-HR"/>
        </w:rPr>
        <w:t>od 12. listopada 2018</w:t>
      </w:r>
      <w:r>
        <w:rPr>
          <w:rFonts w:asciiTheme="majorHAnsi" w:hAnsiTheme="majorHAnsi"/>
          <w:lang w:val="hr-HR"/>
        </w:rPr>
        <w:t xml:space="preserve">. </w:t>
      </w:r>
    </w:p>
    <w:p w14:paraId="64E57021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S obzirom da je taj datum rok za usklađenje, proizvođači vozila i operateri postaja za punjenje goriva počet će uvoditi ove oznake tijekom prijelaznog razdoblja prije navedenog datuma. </w:t>
      </w:r>
    </w:p>
    <w:p w14:paraId="510B8D82" w14:textId="77777777" w:rsidR="00131628" w:rsidRPr="007E1E30" w:rsidRDefault="00131628" w:rsidP="00131628">
      <w:pPr>
        <w:spacing w:before="120" w:after="120"/>
        <w:rPr>
          <w:rFonts w:asciiTheme="majorHAnsi" w:hAnsiTheme="majorHAnsi"/>
          <w:b/>
          <w:lang w:val="hr-HR"/>
        </w:rPr>
      </w:pPr>
      <w:r w:rsidRPr="000A2D0E">
        <w:rPr>
          <w:rFonts w:asciiTheme="majorHAnsi" w:hAnsiTheme="majorHAnsi"/>
          <w:b/>
          <w:lang w:val="hr-HR"/>
        </w:rPr>
        <w:t>Kako oznake izgledaju</w:t>
      </w:r>
      <w:r w:rsidRPr="007E1E30">
        <w:rPr>
          <w:rFonts w:asciiTheme="majorHAnsi" w:hAnsiTheme="majorHAnsi"/>
          <w:b/>
          <w:lang w:val="hr-HR"/>
        </w:rPr>
        <w:t>?</w:t>
      </w:r>
    </w:p>
    <w:p w14:paraId="4340A72B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Postoje posebne oznake za benzinska goriva, dizelska goriva te plinovita goriva (SPP/CNG, UPP/LNG, UNP/LPG i vodik):</w:t>
      </w:r>
    </w:p>
    <w:p w14:paraId="2259E887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</w:p>
    <w:p w14:paraId="6E3A3697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benzinska goriva koriste se oznake u obliku kruga („E“ označava bio-komponentu / etanol prisutnu u benzinu):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</w:tblGrid>
      <w:tr w:rsidR="00131628" w14:paraId="104AF645" w14:textId="77777777" w:rsidTr="00AC1E44">
        <w:trPr>
          <w:trHeight w:val="176"/>
        </w:trPr>
        <w:tc>
          <w:tcPr>
            <w:tcW w:w="3607" w:type="dxa"/>
            <w:gridSpan w:val="3"/>
          </w:tcPr>
          <w:p w14:paraId="4A4D3DDC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MOTORNI BENZINI</w:t>
            </w:r>
          </w:p>
        </w:tc>
      </w:tr>
      <w:tr w:rsidR="00131628" w14:paraId="0C9D02C3" w14:textId="77777777" w:rsidTr="00AC1E44">
        <w:tc>
          <w:tcPr>
            <w:tcW w:w="1202" w:type="dxa"/>
          </w:tcPr>
          <w:p w14:paraId="26D66446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0C714EAA" wp14:editId="71E377D7">
                  <wp:extent cx="558948" cy="5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</w:tcPr>
          <w:p w14:paraId="09D1958B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3E797A20" wp14:editId="554F03C0">
                  <wp:extent cx="544695" cy="5400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9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4862AD3E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534FCCB1" wp14:editId="376C8A61">
                  <wp:extent cx="537557" cy="54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5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FA124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dizelska goriva koriste se oznake u obliku kvadrata („B“ označava bio-komponentu / </w:t>
      </w:r>
      <w:proofErr w:type="spellStart"/>
      <w:r>
        <w:rPr>
          <w:rFonts w:asciiTheme="majorHAnsi" w:hAnsiTheme="majorHAnsi"/>
          <w:lang w:val="hr-HR"/>
        </w:rPr>
        <w:t>biodizel</w:t>
      </w:r>
      <w:proofErr w:type="spellEnd"/>
      <w:r>
        <w:rPr>
          <w:rFonts w:asciiTheme="majorHAnsi" w:hAnsiTheme="majorHAnsi"/>
          <w:lang w:val="hr-HR"/>
        </w:rPr>
        <w:t xml:space="preserve"> prisutnu u dizelu, XTL predstavlja sintetičko dizelsko gorivo te označava da nije dobiveno iz sirove nafte):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</w:tblGrid>
      <w:tr w:rsidR="00131628" w14:paraId="584C6517" w14:textId="77777777" w:rsidTr="00AC1E44">
        <w:trPr>
          <w:trHeight w:val="176"/>
        </w:trPr>
        <w:tc>
          <w:tcPr>
            <w:tcW w:w="3609" w:type="dxa"/>
            <w:gridSpan w:val="3"/>
          </w:tcPr>
          <w:p w14:paraId="0155EC06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DIZELSKA GORIVA</w:t>
            </w:r>
          </w:p>
        </w:tc>
      </w:tr>
      <w:tr w:rsidR="00131628" w14:paraId="739F6C36" w14:textId="77777777" w:rsidTr="00AC1E44">
        <w:tc>
          <w:tcPr>
            <w:tcW w:w="1203" w:type="dxa"/>
          </w:tcPr>
          <w:p w14:paraId="05CF0511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5A056A2D" wp14:editId="1CC7305E">
                  <wp:extent cx="537465" cy="54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6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720216B8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20974ED5" wp14:editId="67B7FC32">
                  <wp:extent cx="537477" cy="54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7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552E7DDD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1852FA8F" wp14:editId="4263051C">
                  <wp:extent cx="540000" cy="540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74728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</w:p>
    <w:p w14:paraId="2041A6F8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plinovita goriva koriste se oznake u obliku romba: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1203"/>
        <w:gridCol w:w="1236"/>
        <w:gridCol w:w="1236"/>
      </w:tblGrid>
      <w:tr w:rsidR="00131628" w14:paraId="0B0FD038" w14:textId="77777777" w:rsidTr="00AC1E44">
        <w:trPr>
          <w:trHeight w:val="176"/>
        </w:trPr>
        <w:tc>
          <w:tcPr>
            <w:tcW w:w="4811" w:type="dxa"/>
            <w:gridSpan w:val="4"/>
          </w:tcPr>
          <w:p w14:paraId="11AF3EFB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PLINOVITA GORIVA</w:t>
            </w:r>
          </w:p>
        </w:tc>
      </w:tr>
      <w:tr w:rsidR="00131628" w14:paraId="2873BB66" w14:textId="77777777" w:rsidTr="00AC1E44">
        <w:tc>
          <w:tcPr>
            <w:tcW w:w="1203" w:type="dxa"/>
          </w:tcPr>
          <w:p w14:paraId="78B3AE2F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6BC7CFBF" wp14:editId="6B79C4A6">
                  <wp:extent cx="621054" cy="61200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202E49F8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397A14A8" wp14:editId="1B7750B8">
                  <wp:extent cx="618214" cy="61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1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2AD8838A" w14:textId="77777777" w:rsidR="00131628" w:rsidRDefault="00131628" w:rsidP="00AC1E44">
            <w:pPr>
              <w:spacing w:before="40" w:after="40"/>
              <w:jc w:val="center"/>
              <w:rPr>
                <w:rFonts w:asciiTheme="majorHAnsi" w:hAnsiTheme="majorHAnsi"/>
                <w:lang w:val="hr-HR"/>
              </w:rPr>
            </w:pPr>
            <w:r w:rsidRPr="002A7857">
              <w:rPr>
                <w:noProof/>
                <w:lang w:val="hr-HR" w:eastAsia="hr-HR"/>
              </w:rPr>
              <w:drawing>
                <wp:inline distT="0" distB="0" distL="0" distR="0" wp14:anchorId="4B605499" wp14:editId="499A3C6F">
                  <wp:extent cx="639819" cy="6120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72467" t="29901" r="20369" b="45736"/>
                          <a:stretch/>
                        </pic:blipFill>
                        <pic:spPr bwMode="auto">
                          <a:xfrm>
                            <a:off x="0" y="0"/>
                            <a:ext cx="639819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</w:tcPr>
          <w:p w14:paraId="4F3B13CF" w14:textId="77777777" w:rsidR="00131628" w:rsidRDefault="00131628" w:rsidP="00AC1E44">
            <w:pPr>
              <w:spacing w:before="40" w:after="40"/>
              <w:jc w:val="center"/>
              <w:rPr>
                <w:noProof/>
                <w:lang w:val="hr-HR" w:eastAsia="hr-HR"/>
              </w:rPr>
            </w:pPr>
            <w:r w:rsidRPr="002A7857">
              <w:rPr>
                <w:noProof/>
                <w:lang w:val="hr-HR" w:eastAsia="hr-HR"/>
              </w:rPr>
              <w:drawing>
                <wp:inline distT="0" distB="0" distL="0" distR="0" wp14:anchorId="3D0D59C6" wp14:editId="4439C68A">
                  <wp:extent cx="640247" cy="61200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72467" t="60909" r="20473" b="15097"/>
                          <a:stretch/>
                        </pic:blipFill>
                        <pic:spPr bwMode="auto">
                          <a:xfrm>
                            <a:off x="0" y="0"/>
                            <a:ext cx="640247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911AA" w14:textId="77777777" w:rsidR="00131628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</w:p>
    <w:p w14:paraId="5A57B040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Kako oznake funkcioniraju</w:t>
      </w:r>
      <w:r w:rsidRPr="007E1E30">
        <w:rPr>
          <w:rFonts w:asciiTheme="majorHAnsi" w:hAnsiTheme="majorHAnsi"/>
          <w:b/>
          <w:lang w:val="hr-HR"/>
        </w:rPr>
        <w:t>?</w:t>
      </w:r>
    </w:p>
    <w:p w14:paraId="71116D13" w14:textId="77777777" w:rsidR="00131628" w:rsidRPr="00535604" w:rsidRDefault="00131628" w:rsidP="00131628">
      <w:pPr>
        <w:spacing w:before="120" w:after="120"/>
        <w:rPr>
          <w:rFonts w:asciiTheme="majorHAnsi" w:hAnsiTheme="majorHAnsi"/>
          <w:lang w:val="hr-HR"/>
        </w:rPr>
      </w:pPr>
      <w:r w:rsidRPr="00535604">
        <w:rPr>
          <w:rFonts w:asciiTheme="majorHAnsi" w:hAnsiTheme="majorHAnsi"/>
          <w:lang w:val="hr-HR"/>
        </w:rPr>
        <w:t xml:space="preserve">Oznaka je samo vizualno pomagalo potrošačima prilikom provjere da su ispravno odabrali odgovarajuće gorivo za svoje vozilo. Jedino što trebate učiniti je pronaći oznaku na postaji/mjernom uređaju za prodaju goriva koja odgovara oznaci na Vašem vozilu.  </w:t>
      </w:r>
    </w:p>
    <w:p w14:paraId="44926C56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>Imam električno vozilo</w:t>
      </w:r>
      <w:r w:rsidRPr="007E1E30">
        <w:rPr>
          <w:rFonts w:asciiTheme="majorHAnsi" w:hAnsiTheme="majorHAnsi"/>
          <w:b/>
          <w:lang w:val="hr-HR"/>
        </w:rPr>
        <w:t xml:space="preserve">, </w:t>
      </w:r>
      <w:r>
        <w:rPr>
          <w:rFonts w:asciiTheme="majorHAnsi" w:hAnsiTheme="majorHAnsi"/>
          <w:b/>
          <w:lang w:val="hr-HR"/>
        </w:rPr>
        <w:t>odnose li se oznake i na mene</w:t>
      </w:r>
      <w:r w:rsidRPr="007E1E30">
        <w:rPr>
          <w:rFonts w:asciiTheme="majorHAnsi" w:hAnsiTheme="majorHAnsi"/>
          <w:b/>
          <w:lang w:val="hr-HR"/>
        </w:rPr>
        <w:t>?</w:t>
      </w:r>
    </w:p>
    <w:p w14:paraId="4052F197" w14:textId="77777777" w:rsidR="00131628" w:rsidRDefault="00131628" w:rsidP="00131628">
      <w:pPr>
        <w:spacing w:before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Da, ako imate hibridno električno vozilo. I takvo vozilo zahtijeva punjenje odgovarajućim gorivom. </w:t>
      </w:r>
    </w:p>
    <w:p w14:paraId="490AF93C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lastRenderedPageBreak/>
        <w:t>Trenutno je u izradi slični set oznaka za vozila i mjesta za punjenje koje će Vas voditi kroz postupak punjenja baterija vozila te bi se trebale uvesti u budućnosti.</w:t>
      </w:r>
    </w:p>
    <w:p w14:paraId="4508424C" w14:textId="77777777" w:rsidR="00131628" w:rsidRPr="007E1E30" w:rsidRDefault="00131628" w:rsidP="00131628">
      <w:pPr>
        <w:spacing w:before="120" w:after="120"/>
        <w:rPr>
          <w:rFonts w:asciiTheme="majorHAnsi" w:hAnsiTheme="majorHAnsi"/>
          <w:b/>
          <w:lang w:val="hr-HR"/>
        </w:rPr>
      </w:pPr>
      <w:r w:rsidRPr="00FC57B8">
        <w:rPr>
          <w:rFonts w:asciiTheme="majorHAnsi" w:hAnsiTheme="majorHAnsi"/>
          <w:b/>
          <w:lang w:val="hr-HR"/>
        </w:rPr>
        <w:t>Putujem u inozemstvo</w:t>
      </w:r>
      <w:r w:rsidRPr="007E1E30">
        <w:rPr>
          <w:rFonts w:asciiTheme="majorHAnsi" w:hAnsiTheme="majorHAnsi"/>
          <w:b/>
          <w:lang w:val="hr-HR"/>
        </w:rPr>
        <w:t>.</w:t>
      </w:r>
      <w:r>
        <w:rPr>
          <w:rFonts w:asciiTheme="majorHAnsi" w:hAnsiTheme="majorHAnsi"/>
          <w:b/>
          <w:lang w:val="hr-HR"/>
        </w:rPr>
        <w:t xml:space="preserve"> Hoću li vidjeti oznake na postajama za punjenje goriva zemalja kroz koje ću prolaziti</w:t>
      </w:r>
      <w:r w:rsidRPr="007E1E30">
        <w:rPr>
          <w:rFonts w:asciiTheme="majorHAnsi" w:hAnsiTheme="majorHAnsi"/>
          <w:b/>
          <w:lang w:val="hr-HR"/>
        </w:rPr>
        <w:t>?</w:t>
      </w:r>
    </w:p>
    <w:p w14:paraId="68E42CBB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Nove oznake će se koristiti u svih 28 zemalja članica Europske unije, zemljama Europskog gospodarskog prostora (Island, Lihtenštajn i Norveška), kao i u Makedoniji, Srbiji, Švicarskoj i Turskoj.</w:t>
      </w:r>
    </w:p>
    <w:p w14:paraId="1494FAF2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 xml:space="preserve">Planiram putovanje u Ujedinjeno Kraljevstvo, što je s </w:t>
      </w:r>
      <w:proofErr w:type="spellStart"/>
      <w:r w:rsidRPr="007E1E30">
        <w:rPr>
          <w:rFonts w:asciiTheme="majorHAnsi" w:hAnsiTheme="majorHAnsi"/>
          <w:b/>
          <w:lang w:val="hr-HR"/>
        </w:rPr>
        <w:t>Brexit</w:t>
      </w:r>
      <w:r>
        <w:rPr>
          <w:rFonts w:asciiTheme="majorHAnsi" w:hAnsiTheme="majorHAnsi"/>
          <w:b/>
          <w:lang w:val="hr-HR"/>
        </w:rPr>
        <w:t>om</w:t>
      </w:r>
      <w:proofErr w:type="spellEnd"/>
      <w:r w:rsidRPr="007E1E30">
        <w:rPr>
          <w:rFonts w:asciiTheme="majorHAnsi" w:hAnsiTheme="majorHAnsi"/>
          <w:b/>
          <w:lang w:val="hr-HR"/>
        </w:rPr>
        <w:t>?</w:t>
      </w:r>
    </w:p>
    <w:p w14:paraId="326BD6CE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Ujedinjeno Kraljevstvo treba odlučiti na koji način će se pravila EU primjenjivati nakon </w:t>
      </w:r>
      <w:proofErr w:type="spellStart"/>
      <w:r>
        <w:rPr>
          <w:rFonts w:asciiTheme="majorHAnsi" w:hAnsiTheme="majorHAnsi"/>
          <w:lang w:val="hr-HR"/>
        </w:rPr>
        <w:t>Brexita</w:t>
      </w:r>
      <w:proofErr w:type="spellEnd"/>
      <w:r>
        <w:rPr>
          <w:rFonts w:asciiTheme="majorHAnsi" w:hAnsiTheme="majorHAnsi"/>
          <w:lang w:val="hr-HR"/>
        </w:rPr>
        <w:t xml:space="preserve">, međutim oznake će se stavljati na novoproizvedena vozila na proizvodnoj liniji, tako da će vozila koja ulaze na tržište Ujedinjenog Kraljevstva imati nove oznake.   </w:t>
      </w:r>
    </w:p>
    <w:p w14:paraId="6E1C5BD9" w14:textId="77777777" w:rsidR="00131628" w:rsidRPr="007E1E30" w:rsidRDefault="00131628" w:rsidP="00131628">
      <w:pPr>
        <w:spacing w:before="120" w:after="120"/>
        <w:ind w:left="426" w:hanging="426"/>
        <w:rPr>
          <w:rFonts w:asciiTheme="majorHAnsi" w:hAnsiTheme="majorHAnsi"/>
          <w:b/>
          <w:lang w:val="hr-HR"/>
        </w:rPr>
      </w:pPr>
      <w:r w:rsidRPr="009A4CFE">
        <w:rPr>
          <w:rFonts w:asciiTheme="majorHAnsi" w:hAnsiTheme="majorHAnsi"/>
          <w:b/>
          <w:lang w:val="hr-HR"/>
        </w:rPr>
        <w:t>U svezi punjenja pogrešnog goriva</w:t>
      </w:r>
      <w:r w:rsidRPr="007E1E30">
        <w:rPr>
          <w:rFonts w:asciiTheme="majorHAnsi" w:hAnsiTheme="majorHAnsi"/>
          <w:b/>
          <w:lang w:val="hr-HR"/>
        </w:rPr>
        <w:t>:</w:t>
      </w:r>
    </w:p>
    <w:p w14:paraId="50FC8AD1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Otvor spremnika za punjenje goriva u benzinskom vozilu namjerno je manji od </w:t>
      </w:r>
      <w:r w:rsidRPr="00535604">
        <w:rPr>
          <w:rFonts w:asciiTheme="majorHAnsi" w:hAnsiTheme="majorHAnsi"/>
          <w:lang w:val="hr-HR"/>
        </w:rPr>
        <w:t xml:space="preserve">sapnice na pipcu </w:t>
      </w:r>
      <w:r>
        <w:rPr>
          <w:rFonts w:asciiTheme="majorHAnsi" w:hAnsiTheme="majorHAnsi"/>
          <w:lang w:val="hr-HR"/>
        </w:rPr>
        <w:t xml:space="preserve">za dizelsko gorivo. </w:t>
      </w:r>
    </w:p>
    <w:p w14:paraId="03665EDA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Iako to pomaže potrošačima da izbjegnu ulijevanje dizelskog goriva u benzinsko vozilo, potrošači još uvijek mogu iz nepažnje uliti benzin u dizelsko vozilo, unatoč oznakama „Diesel“ oko poklopca/čepa spremnika za dizelsko gorivo. </w:t>
      </w:r>
    </w:p>
    <w:p w14:paraId="09518C64" w14:textId="77777777" w:rsidR="00131628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Potrošači su odgovorni za punjenje ispravnog goriva u svoja vozila (benzin ili dizelsko gorivo).</w:t>
      </w:r>
    </w:p>
    <w:p w14:paraId="18839ED7" w14:textId="77777777" w:rsidR="00131628" w:rsidRPr="007E1E30" w:rsidRDefault="00131628" w:rsidP="00131628">
      <w:pPr>
        <w:spacing w:before="120" w:after="12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Ovo priopćenje ne pokriva situacije kada potrošač iz nepažnje ulije benzin u svoje dizelsko vozilo. Nove oznake i ovo priopćenje informiraju potrošače o prikladnosti korištenja određenog goriva za njihova vozila.</w:t>
      </w:r>
    </w:p>
    <w:p w14:paraId="1F861A1E" w14:textId="77777777" w:rsidR="002B5B1D" w:rsidRPr="00131628" w:rsidRDefault="002B5B1D" w:rsidP="00131628">
      <w:bookmarkStart w:id="0" w:name="_GoBack"/>
      <w:bookmarkEnd w:id="0"/>
    </w:p>
    <w:sectPr w:rsidR="002B5B1D" w:rsidRPr="00131628" w:rsidSect="00C96D78">
      <w:headerReference w:type="default" r:id="rId17"/>
      <w:headerReference w:type="first" r:id="rId18"/>
      <w:pgSz w:w="11906" w:h="16838" w:code="9"/>
      <w:pgMar w:top="1004" w:right="1021" w:bottom="2268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B423" w14:textId="77777777" w:rsidR="00FE332C" w:rsidRDefault="00FE332C" w:rsidP="00AA2A68">
      <w:r>
        <w:separator/>
      </w:r>
    </w:p>
  </w:endnote>
  <w:endnote w:type="continuationSeparator" w:id="0">
    <w:p w14:paraId="1F61B435" w14:textId="77777777" w:rsidR="00FE332C" w:rsidRDefault="00FE332C" w:rsidP="00AA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B335" w14:textId="77777777" w:rsidR="00FE332C" w:rsidRDefault="00FE332C" w:rsidP="00AA2A68">
      <w:r>
        <w:separator/>
      </w:r>
    </w:p>
  </w:footnote>
  <w:footnote w:type="continuationSeparator" w:id="0">
    <w:p w14:paraId="588A6299" w14:textId="77777777" w:rsidR="00FE332C" w:rsidRDefault="00FE332C" w:rsidP="00AA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E0C6" w14:textId="77777777" w:rsidR="00945C95" w:rsidRDefault="00606C3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3D10BF75" wp14:editId="468DBB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3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46E" w14:textId="77777777" w:rsidR="00945C95" w:rsidRPr="007D76F6" w:rsidRDefault="00606C3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465763F8" wp14:editId="21A309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10701655"/>
          <wp:effectExtent l="0" t="0" r="9525" b="4445"/>
          <wp:wrapNone/>
          <wp:docPr id="9" name="Picture 9" descr="memo_HUP_sredisnji-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mo_HUP_sredisnji-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49257" w14:textId="77777777" w:rsidR="00945C95" w:rsidRPr="007D76F6" w:rsidRDefault="00945C95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14:paraId="342F0067" w14:textId="77777777" w:rsidR="00945C95" w:rsidRPr="007D76F6" w:rsidRDefault="00945C95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14:paraId="0A2F3F5F" w14:textId="77777777" w:rsidR="00945C95" w:rsidRPr="007D76F6" w:rsidRDefault="00945C95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14:paraId="519ECBB8" w14:textId="77777777" w:rsidR="00945C95" w:rsidRPr="007D76F6" w:rsidRDefault="00945C95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14:paraId="53FA3220" w14:textId="77777777" w:rsidR="00945C95" w:rsidRPr="007D76F6" w:rsidRDefault="00945C95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D62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1A2E"/>
    <w:multiLevelType w:val="hybridMultilevel"/>
    <w:tmpl w:val="15E8D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28"/>
    <w:multiLevelType w:val="hybridMultilevel"/>
    <w:tmpl w:val="2A1CC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A0D"/>
    <w:multiLevelType w:val="hybridMultilevel"/>
    <w:tmpl w:val="19ECE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0EC"/>
    <w:multiLevelType w:val="hybridMultilevel"/>
    <w:tmpl w:val="C7825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7691"/>
    <w:multiLevelType w:val="hybridMultilevel"/>
    <w:tmpl w:val="9A843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44B"/>
    <w:multiLevelType w:val="hybridMultilevel"/>
    <w:tmpl w:val="3556B0A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636"/>
    <w:multiLevelType w:val="hybridMultilevel"/>
    <w:tmpl w:val="6CA2EE9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0AA3"/>
    <w:multiLevelType w:val="hybridMultilevel"/>
    <w:tmpl w:val="0320493C"/>
    <w:lvl w:ilvl="0" w:tplc="70E0B14A">
      <w:start w:val="1999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FC9"/>
    <w:multiLevelType w:val="hybridMultilevel"/>
    <w:tmpl w:val="DE446E00"/>
    <w:lvl w:ilvl="0" w:tplc="E162F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1827"/>
    <w:multiLevelType w:val="hybridMultilevel"/>
    <w:tmpl w:val="9574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1385"/>
    <w:multiLevelType w:val="hybridMultilevel"/>
    <w:tmpl w:val="ED36A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668E"/>
    <w:multiLevelType w:val="hybridMultilevel"/>
    <w:tmpl w:val="B3124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56B00"/>
    <w:multiLevelType w:val="hybridMultilevel"/>
    <w:tmpl w:val="908256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314F3"/>
    <w:multiLevelType w:val="hybridMultilevel"/>
    <w:tmpl w:val="A0705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00FA5"/>
    <w:multiLevelType w:val="hybridMultilevel"/>
    <w:tmpl w:val="5FA2403A"/>
    <w:lvl w:ilvl="0" w:tplc="24AE7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27D3"/>
    <w:multiLevelType w:val="hybridMultilevel"/>
    <w:tmpl w:val="756AD70C"/>
    <w:lvl w:ilvl="0" w:tplc="0B226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1012A"/>
    <w:multiLevelType w:val="hybridMultilevel"/>
    <w:tmpl w:val="963C0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35F6"/>
    <w:multiLevelType w:val="hybridMultilevel"/>
    <w:tmpl w:val="DEE22E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467EB4"/>
    <w:multiLevelType w:val="hybridMultilevel"/>
    <w:tmpl w:val="038EC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E6073"/>
    <w:multiLevelType w:val="hybridMultilevel"/>
    <w:tmpl w:val="C3E4B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5ADE"/>
    <w:multiLevelType w:val="hybridMultilevel"/>
    <w:tmpl w:val="6A6AECA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C28"/>
    <w:multiLevelType w:val="hybridMultilevel"/>
    <w:tmpl w:val="4A34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7A729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6173C"/>
    <w:multiLevelType w:val="hybridMultilevel"/>
    <w:tmpl w:val="269E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38EC"/>
    <w:multiLevelType w:val="hybridMultilevel"/>
    <w:tmpl w:val="014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7"/>
  </w:num>
  <w:num w:numId="5">
    <w:abstractNumId w:val="19"/>
  </w:num>
  <w:num w:numId="6">
    <w:abstractNumId w:val="17"/>
  </w:num>
  <w:num w:numId="7">
    <w:abstractNumId w:val="21"/>
  </w:num>
  <w:num w:numId="8">
    <w:abstractNumId w:val="3"/>
  </w:num>
  <w:num w:numId="9">
    <w:abstractNumId w:val="14"/>
  </w:num>
  <w:num w:numId="10">
    <w:abstractNumId w:val="22"/>
  </w:num>
  <w:num w:numId="11">
    <w:abstractNumId w:val="18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9"/>
  </w:num>
  <w:num w:numId="18">
    <w:abstractNumId w:val="6"/>
  </w:num>
  <w:num w:numId="19">
    <w:abstractNumId w:val="5"/>
  </w:num>
  <w:num w:numId="20">
    <w:abstractNumId w:val="2"/>
  </w:num>
  <w:num w:numId="21">
    <w:abstractNumId w:val="4"/>
  </w:num>
  <w:num w:numId="22">
    <w:abstractNumId w:val="13"/>
  </w:num>
  <w:num w:numId="23">
    <w:abstractNumId w:val="23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95"/>
    <w:rsid w:val="000208F6"/>
    <w:rsid w:val="000241BB"/>
    <w:rsid w:val="0008632E"/>
    <w:rsid w:val="000A497F"/>
    <w:rsid w:val="000B1FC9"/>
    <w:rsid w:val="00105FCC"/>
    <w:rsid w:val="00131628"/>
    <w:rsid w:val="00172076"/>
    <w:rsid w:val="00185C45"/>
    <w:rsid w:val="001A07ED"/>
    <w:rsid w:val="001C274B"/>
    <w:rsid w:val="001C27AC"/>
    <w:rsid w:val="001D7102"/>
    <w:rsid w:val="001E4132"/>
    <w:rsid w:val="001E4715"/>
    <w:rsid w:val="00200EF9"/>
    <w:rsid w:val="00210C35"/>
    <w:rsid w:val="002337CB"/>
    <w:rsid w:val="00285003"/>
    <w:rsid w:val="002A5A61"/>
    <w:rsid w:val="002B5B1D"/>
    <w:rsid w:val="002E6912"/>
    <w:rsid w:val="0032790D"/>
    <w:rsid w:val="003412C1"/>
    <w:rsid w:val="00380488"/>
    <w:rsid w:val="00395626"/>
    <w:rsid w:val="00404083"/>
    <w:rsid w:val="00406B0D"/>
    <w:rsid w:val="00435EAD"/>
    <w:rsid w:val="00446DC0"/>
    <w:rsid w:val="00496293"/>
    <w:rsid w:val="004B71F6"/>
    <w:rsid w:val="00573F95"/>
    <w:rsid w:val="00577A37"/>
    <w:rsid w:val="00585D39"/>
    <w:rsid w:val="005E5D1F"/>
    <w:rsid w:val="005F175B"/>
    <w:rsid w:val="006015D3"/>
    <w:rsid w:val="00606AD6"/>
    <w:rsid w:val="00606C3F"/>
    <w:rsid w:val="00690FED"/>
    <w:rsid w:val="006A3344"/>
    <w:rsid w:val="006C427A"/>
    <w:rsid w:val="006C7C69"/>
    <w:rsid w:val="006D2197"/>
    <w:rsid w:val="00737A37"/>
    <w:rsid w:val="00762F1C"/>
    <w:rsid w:val="007713AB"/>
    <w:rsid w:val="007976BB"/>
    <w:rsid w:val="007A48D4"/>
    <w:rsid w:val="007D76F6"/>
    <w:rsid w:val="007E21FE"/>
    <w:rsid w:val="00824D19"/>
    <w:rsid w:val="00844E62"/>
    <w:rsid w:val="008B1A63"/>
    <w:rsid w:val="008C5643"/>
    <w:rsid w:val="0091553A"/>
    <w:rsid w:val="00945AD5"/>
    <w:rsid w:val="00945C95"/>
    <w:rsid w:val="00951623"/>
    <w:rsid w:val="009670DE"/>
    <w:rsid w:val="009B4971"/>
    <w:rsid w:val="009E3319"/>
    <w:rsid w:val="00A17863"/>
    <w:rsid w:val="00A25ABE"/>
    <w:rsid w:val="00A31E3A"/>
    <w:rsid w:val="00A7762B"/>
    <w:rsid w:val="00AA2A68"/>
    <w:rsid w:val="00AD2771"/>
    <w:rsid w:val="00AE66DB"/>
    <w:rsid w:val="00B424B9"/>
    <w:rsid w:val="00B47B11"/>
    <w:rsid w:val="00B74FB4"/>
    <w:rsid w:val="00B95792"/>
    <w:rsid w:val="00BB0B5D"/>
    <w:rsid w:val="00C76156"/>
    <w:rsid w:val="00C96D78"/>
    <w:rsid w:val="00CC0041"/>
    <w:rsid w:val="00D478CE"/>
    <w:rsid w:val="00DA751A"/>
    <w:rsid w:val="00DF07E5"/>
    <w:rsid w:val="00E22DC1"/>
    <w:rsid w:val="00E479BF"/>
    <w:rsid w:val="00E614C2"/>
    <w:rsid w:val="00EA1D50"/>
    <w:rsid w:val="00EB6D0B"/>
    <w:rsid w:val="00F04BC3"/>
    <w:rsid w:val="00F17EA8"/>
    <w:rsid w:val="00F574BA"/>
    <w:rsid w:val="00F90286"/>
    <w:rsid w:val="00FA228C"/>
    <w:rsid w:val="00FD2DD6"/>
    <w:rsid w:val="00FE332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3481818"/>
  <w14:defaultImageDpi w14:val="300"/>
  <w15:docId w15:val="{D7A6C077-EBB8-46E8-B5D3-5A730FC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B11"/>
    <w:rPr>
      <w:rFonts w:ascii="Cambria" w:hAnsi="Cambria"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  <w:sz w:val="22"/>
      <w:szCs w:val="22"/>
      <w:lang w:val="x-none"/>
    </w:r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863"/>
    <w:rPr>
      <w:rFonts w:cs="Times New Roman"/>
      <w:szCs w:val="21"/>
    </w:rPr>
  </w:style>
  <w:style w:type="character" w:customStyle="1" w:styleId="PlainTextChar">
    <w:name w:val="Plain Text Char"/>
    <w:link w:val="PlainText"/>
    <w:uiPriority w:val="99"/>
    <w:semiHidden/>
    <w:rsid w:val="00A17863"/>
    <w:rPr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A17863"/>
    <w:pPr>
      <w:ind w:left="720"/>
    </w:pPr>
    <w:rPr>
      <w:rFonts w:ascii="Calibri" w:hAnsi="Calibri" w:cs="Times New Roman"/>
      <w:sz w:val="22"/>
      <w:szCs w:val="22"/>
      <w:lang w:val="en-GB" w:eastAsia="hr-HR"/>
    </w:rPr>
  </w:style>
  <w:style w:type="character" w:styleId="Strong">
    <w:name w:val="Strong"/>
    <w:uiPriority w:val="22"/>
    <w:qFormat/>
    <w:rsid w:val="00A17863"/>
    <w:rPr>
      <w:b/>
      <w:bCs/>
    </w:rPr>
  </w:style>
  <w:style w:type="character" w:styleId="Hyperlink">
    <w:name w:val="Hyperlink"/>
    <w:uiPriority w:val="99"/>
    <w:unhideWhenUsed/>
    <w:rsid w:val="00105F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A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690FE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B1A63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B66-22A2-43FE-818C-EB1CF50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</dc:creator>
  <cp:lastModifiedBy>Marija Šutina</cp:lastModifiedBy>
  <cp:revision>2</cp:revision>
  <cp:lastPrinted>2017-02-08T09:07:00Z</cp:lastPrinted>
  <dcterms:created xsi:type="dcterms:W3CDTF">2018-08-02T11:09:00Z</dcterms:created>
  <dcterms:modified xsi:type="dcterms:W3CDTF">2018-08-02T11:09:00Z</dcterms:modified>
</cp:coreProperties>
</file>