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4E353" w14:textId="77777777" w:rsidR="008B1A63" w:rsidRPr="002A7857" w:rsidRDefault="008B1A63" w:rsidP="008B1A63">
      <w:pPr>
        <w:spacing w:before="120" w:after="120"/>
        <w:jc w:val="center"/>
        <w:rPr>
          <w:rFonts w:asciiTheme="majorHAnsi" w:hAnsiTheme="majorHAnsi"/>
          <w:b/>
          <w:lang w:val="hr-HR"/>
        </w:rPr>
      </w:pPr>
      <w:r>
        <w:rPr>
          <w:rFonts w:asciiTheme="majorHAnsi" w:hAnsiTheme="majorHAnsi"/>
          <w:b/>
          <w:lang w:val="hr-HR"/>
        </w:rPr>
        <w:t>INFORMACIJA O</w:t>
      </w:r>
      <w:r w:rsidRPr="002A7857">
        <w:rPr>
          <w:rFonts w:asciiTheme="majorHAnsi" w:hAnsiTheme="majorHAnsi"/>
          <w:b/>
          <w:lang w:val="hr-HR"/>
        </w:rPr>
        <w:t xml:space="preserve"> OZNAČAVANJ</w:t>
      </w:r>
      <w:r>
        <w:rPr>
          <w:rFonts w:asciiTheme="majorHAnsi" w:hAnsiTheme="majorHAnsi"/>
          <w:b/>
          <w:lang w:val="hr-HR"/>
        </w:rPr>
        <w:t>U</w:t>
      </w:r>
      <w:r w:rsidRPr="002A7857">
        <w:rPr>
          <w:rFonts w:asciiTheme="majorHAnsi" w:hAnsiTheme="majorHAnsi"/>
          <w:b/>
          <w:lang w:val="hr-HR"/>
        </w:rPr>
        <w:t xml:space="preserve"> G</w:t>
      </w:r>
      <w:bookmarkStart w:id="0" w:name="_GoBack"/>
      <w:bookmarkEnd w:id="0"/>
      <w:r w:rsidRPr="002A7857">
        <w:rPr>
          <w:rFonts w:asciiTheme="majorHAnsi" w:hAnsiTheme="majorHAnsi"/>
          <w:b/>
          <w:lang w:val="hr-HR"/>
        </w:rPr>
        <w:t>ORIVA – CESTOVN</w:t>
      </w:r>
      <w:r>
        <w:rPr>
          <w:rFonts w:asciiTheme="majorHAnsi" w:hAnsiTheme="majorHAnsi"/>
          <w:b/>
          <w:lang w:val="hr-HR"/>
        </w:rPr>
        <w:t>IH</w:t>
      </w:r>
      <w:r w:rsidRPr="002A7857">
        <w:rPr>
          <w:rFonts w:asciiTheme="majorHAnsi" w:hAnsiTheme="majorHAnsi"/>
          <w:b/>
          <w:lang w:val="hr-HR"/>
        </w:rPr>
        <w:t xml:space="preserve"> VOZILA</w:t>
      </w:r>
    </w:p>
    <w:p w14:paraId="4221CF27" w14:textId="77777777" w:rsidR="008B1A63" w:rsidRPr="000403F6" w:rsidRDefault="008B1A63" w:rsidP="008B1A63">
      <w:pPr>
        <w:spacing w:before="120" w:after="120"/>
        <w:jc w:val="center"/>
        <w:rPr>
          <w:rFonts w:asciiTheme="majorHAnsi" w:hAnsiTheme="majorHAnsi"/>
          <w:b/>
          <w:lang w:val="hr-HR"/>
        </w:rPr>
      </w:pPr>
      <w:r w:rsidRPr="000403F6">
        <w:rPr>
          <w:rFonts w:asciiTheme="majorHAnsi" w:hAnsiTheme="majorHAnsi"/>
          <w:b/>
          <w:lang w:val="hr-HR"/>
        </w:rPr>
        <w:t>ZA DOBAVLJAČE</w:t>
      </w:r>
      <w:r>
        <w:rPr>
          <w:rFonts w:asciiTheme="majorHAnsi" w:hAnsiTheme="majorHAnsi"/>
          <w:b/>
          <w:lang w:val="hr-HR"/>
        </w:rPr>
        <w:t>- DISTRIBUTERE</w:t>
      </w:r>
    </w:p>
    <w:p w14:paraId="2614E981" w14:textId="77777777" w:rsidR="008B1A63" w:rsidRPr="002A7857" w:rsidRDefault="008B1A63" w:rsidP="008B1A63">
      <w:pPr>
        <w:spacing w:before="120" w:after="120"/>
        <w:rPr>
          <w:rFonts w:asciiTheme="majorHAnsi" w:hAnsiTheme="majorHAnsi"/>
          <w:lang w:val="hr-HR"/>
        </w:rPr>
      </w:pPr>
    </w:p>
    <w:p w14:paraId="0B4EC7A4"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Općenita pitanja i odgovori:</w:t>
      </w:r>
    </w:p>
    <w:p w14:paraId="684DA6E2"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1.</w:t>
      </w:r>
      <w:r w:rsidRPr="002A7857">
        <w:rPr>
          <w:rFonts w:asciiTheme="majorHAnsi" w:hAnsiTheme="majorHAnsi"/>
          <w:b/>
          <w:lang w:val="hr-HR"/>
        </w:rPr>
        <w:tab/>
        <w:t>Opća pozadina</w:t>
      </w:r>
    </w:p>
    <w:p w14:paraId="060810CF" w14:textId="77777777" w:rsidR="008B1A63" w:rsidRPr="002A7857" w:rsidRDefault="008B1A63" w:rsidP="008B1A63">
      <w:pPr>
        <w:spacing w:before="120" w:after="120"/>
        <w:rPr>
          <w:rFonts w:asciiTheme="majorHAnsi" w:hAnsiTheme="majorHAnsi"/>
          <w:lang w:val="hr-HR"/>
        </w:rPr>
      </w:pPr>
      <w:r w:rsidRPr="00477E7F">
        <w:rPr>
          <w:rFonts w:asciiTheme="majorHAnsi" w:hAnsiTheme="majorHAnsi"/>
          <w:lang w:val="hr-HR"/>
        </w:rPr>
        <w:t xml:space="preserve">Direktiva Europske unije (EU) 2014/94/EU Europskog parlamenta i Vijeća </w:t>
      </w:r>
      <w:r>
        <w:rPr>
          <w:rFonts w:asciiTheme="majorHAnsi" w:hAnsiTheme="majorHAnsi"/>
          <w:lang w:val="hr-HR"/>
        </w:rPr>
        <w:t>(</w:t>
      </w:r>
      <w:r w:rsidRPr="00477E7F">
        <w:rPr>
          <w:rFonts w:asciiTheme="majorHAnsi" w:hAnsiTheme="majorHAnsi"/>
          <w:lang w:val="hr-HR"/>
        </w:rPr>
        <w:t xml:space="preserve">donositelji zakona) bavi </w:t>
      </w:r>
      <w:r w:rsidRPr="002A7857">
        <w:rPr>
          <w:rFonts w:asciiTheme="majorHAnsi" w:hAnsiTheme="majorHAnsi"/>
          <w:lang w:val="hr-HR"/>
        </w:rPr>
        <w:t xml:space="preserve">se </w:t>
      </w:r>
      <w:r w:rsidRPr="002A7857">
        <w:rPr>
          <w:rFonts w:asciiTheme="majorHAnsi" w:hAnsiTheme="majorHAnsi"/>
          <w:bCs/>
          <w:lang w:val="hr-HR"/>
        </w:rPr>
        <w:t>uspostavom infrastrukture za alternativna goriva</w:t>
      </w:r>
      <w:r w:rsidRPr="002A7857">
        <w:rPr>
          <w:rFonts w:asciiTheme="majorHAnsi" w:hAnsiTheme="majorHAnsi"/>
          <w:lang w:val="hr-HR"/>
        </w:rPr>
        <w:t xml:space="preserve"> diljem EU. Predmetna Direktiva obrađuje buduće potrebe Europe </w:t>
      </w:r>
      <w:r>
        <w:rPr>
          <w:rFonts w:asciiTheme="majorHAnsi" w:hAnsiTheme="majorHAnsi"/>
          <w:lang w:val="hr-HR"/>
        </w:rPr>
        <w:t>z</w:t>
      </w:r>
      <w:r w:rsidRPr="002A7857">
        <w:rPr>
          <w:rFonts w:asciiTheme="majorHAnsi" w:hAnsiTheme="majorHAnsi"/>
          <w:lang w:val="hr-HR"/>
        </w:rPr>
        <w:t xml:space="preserve">a pružanje </w:t>
      </w:r>
      <w:r>
        <w:rPr>
          <w:rFonts w:asciiTheme="majorHAnsi" w:hAnsiTheme="majorHAnsi"/>
          <w:lang w:val="hr-HR"/>
        </w:rPr>
        <w:t>većeg</w:t>
      </w:r>
      <w:r w:rsidRPr="002A7857">
        <w:rPr>
          <w:rFonts w:asciiTheme="majorHAnsi" w:hAnsiTheme="majorHAnsi"/>
          <w:lang w:val="hr-HR"/>
        </w:rPr>
        <w:t xml:space="preserve"> pristupa „alternativnim gorivima“ te uključuje zahtjev </w:t>
      </w:r>
      <w:r>
        <w:rPr>
          <w:rFonts w:asciiTheme="majorHAnsi" w:hAnsiTheme="majorHAnsi"/>
          <w:lang w:val="hr-HR"/>
        </w:rPr>
        <w:t>za označa</w:t>
      </w:r>
      <w:r w:rsidRPr="002A7857">
        <w:rPr>
          <w:rFonts w:asciiTheme="majorHAnsi" w:hAnsiTheme="majorHAnsi"/>
          <w:lang w:val="hr-HR"/>
        </w:rPr>
        <w:t xml:space="preserve">vanjem novih vozila i svih </w:t>
      </w:r>
      <w:r>
        <w:rPr>
          <w:rFonts w:asciiTheme="majorHAnsi" w:hAnsiTheme="majorHAnsi"/>
          <w:lang w:val="hr-HR"/>
        </w:rPr>
        <w:t>mjernih uređaja za prodaju goriva</w:t>
      </w:r>
      <w:r w:rsidRPr="002A7857">
        <w:rPr>
          <w:rFonts w:asciiTheme="majorHAnsi" w:hAnsiTheme="majorHAnsi"/>
          <w:lang w:val="hr-HR"/>
        </w:rPr>
        <w:t>/postaja za punjenje</w:t>
      </w:r>
      <w:r>
        <w:rPr>
          <w:rFonts w:asciiTheme="majorHAnsi" w:hAnsiTheme="majorHAnsi"/>
          <w:lang w:val="hr-HR"/>
        </w:rPr>
        <w:t xml:space="preserve"> goriva</w:t>
      </w:r>
      <w:r w:rsidRPr="002A7857">
        <w:rPr>
          <w:rFonts w:asciiTheme="majorHAnsi" w:hAnsiTheme="majorHAnsi"/>
          <w:lang w:val="hr-HR"/>
        </w:rPr>
        <w:t xml:space="preserve">, kako bi se omogućilo vozačima </w:t>
      </w:r>
      <w:r>
        <w:rPr>
          <w:rFonts w:asciiTheme="majorHAnsi" w:hAnsiTheme="majorHAnsi"/>
          <w:lang w:val="hr-HR"/>
        </w:rPr>
        <w:t>lakši odabir</w:t>
      </w:r>
      <w:r w:rsidRPr="002A7857">
        <w:rPr>
          <w:rFonts w:asciiTheme="majorHAnsi" w:hAnsiTheme="majorHAnsi"/>
          <w:lang w:val="hr-HR"/>
        </w:rPr>
        <w:t xml:space="preserve"> ispravno</w:t>
      </w:r>
      <w:r>
        <w:rPr>
          <w:rFonts w:asciiTheme="majorHAnsi" w:hAnsiTheme="majorHAnsi"/>
          <w:lang w:val="hr-HR"/>
        </w:rPr>
        <w:t>g</w:t>
      </w:r>
      <w:r w:rsidRPr="002A7857">
        <w:rPr>
          <w:rFonts w:asciiTheme="majorHAnsi" w:hAnsiTheme="majorHAnsi"/>
          <w:lang w:val="hr-HR"/>
        </w:rPr>
        <w:t xml:space="preserve"> gorivo za svoje vozilo.  </w:t>
      </w:r>
    </w:p>
    <w:p w14:paraId="7E798D78"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Iako </w:t>
      </w:r>
      <w:r>
        <w:rPr>
          <w:rFonts w:asciiTheme="majorHAnsi" w:hAnsiTheme="majorHAnsi"/>
          <w:lang w:val="hr-HR"/>
        </w:rPr>
        <w:t>j</w:t>
      </w:r>
      <w:r w:rsidRPr="002A7857">
        <w:rPr>
          <w:rFonts w:asciiTheme="majorHAnsi" w:hAnsiTheme="majorHAnsi"/>
          <w:lang w:val="hr-HR"/>
        </w:rPr>
        <w:t xml:space="preserve">e ova informacija trenutno </w:t>
      </w:r>
      <w:r>
        <w:rPr>
          <w:rFonts w:asciiTheme="majorHAnsi" w:hAnsiTheme="majorHAnsi"/>
          <w:lang w:val="hr-HR"/>
        </w:rPr>
        <w:t>prisutna</w:t>
      </w:r>
      <w:r w:rsidRPr="002A7857">
        <w:rPr>
          <w:rFonts w:asciiTheme="majorHAnsi" w:hAnsiTheme="majorHAnsi"/>
          <w:lang w:val="hr-HR"/>
        </w:rPr>
        <w:t xml:space="preserve"> u priručnicima </w:t>
      </w:r>
      <w:r>
        <w:rPr>
          <w:rFonts w:asciiTheme="majorHAnsi" w:hAnsiTheme="majorHAnsi"/>
          <w:lang w:val="hr-HR"/>
        </w:rPr>
        <w:t xml:space="preserve">svih </w:t>
      </w:r>
      <w:r w:rsidRPr="002A7857">
        <w:rPr>
          <w:rFonts w:asciiTheme="majorHAnsi" w:hAnsiTheme="majorHAnsi"/>
          <w:lang w:val="hr-HR"/>
        </w:rPr>
        <w:t>vozila i oko poklopca/čepa spremnika za gorivo većine vozila, dosad nije bila usklađena diljem Europe.</w:t>
      </w:r>
    </w:p>
    <w:p w14:paraId="18351E3F"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Direktiva uređuje uspostavu novog jedinstvenog i usklađenog skupa oznaka za goriva.</w:t>
      </w:r>
    </w:p>
    <w:p w14:paraId="48D60EDC"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Oznake će se postavljati: </w:t>
      </w:r>
    </w:p>
    <w:p w14:paraId="5704DBB2" w14:textId="77777777" w:rsidR="008B1A63" w:rsidRPr="002A7857"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t xml:space="preserve">na novoproizvedena vozila, u neposrednoj blizini poklopca/čepa spremnika za gorivo te u priručniku vlasnika vozila. U slučaju novijih vozila, moguće ih je uključiti i u elektronički priručnik dostupan preko </w:t>
      </w:r>
      <w:r w:rsidRPr="002A7857">
        <w:rPr>
          <w:rFonts w:asciiTheme="majorHAnsi" w:hAnsiTheme="majorHAnsi"/>
          <w:bCs/>
          <w:lang w:val="hr-HR"/>
        </w:rPr>
        <w:t>informativno</w:t>
      </w:r>
      <w:r w:rsidRPr="002A7857">
        <w:rPr>
          <w:rFonts w:asciiTheme="majorHAnsi" w:hAnsiTheme="majorHAnsi"/>
          <w:lang w:val="hr-HR"/>
        </w:rPr>
        <w:t>-</w:t>
      </w:r>
      <w:r w:rsidRPr="002A7857">
        <w:rPr>
          <w:rFonts w:asciiTheme="majorHAnsi" w:hAnsiTheme="majorHAnsi"/>
          <w:bCs/>
          <w:lang w:val="hr-HR"/>
        </w:rPr>
        <w:t>zabavnog sustava</w:t>
      </w:r>
      <w:r w:rsidRPr="002A7857">
        <w:rPr>
          <w:rFonts w:asciiTheme="majorHAnsi" w:hAnsiTheme="majorHAnsi"/>
          <w:lang w:val="hr-HR"/>
        </w:rPr>
        <w:t xml:space="preserve"> vozila; </w:t>
      </w:r>
    </w:p>
    <w:p w14:paraId="706D2A55" w14:textId="77777777" w:rsidR="008B1A63" w:rsidRPr="000E3FDD"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t xml:space="preserve">na svim javnim postajama za punjenje vozila na </w:t>
      </w:r>
      <w:r w:rsidRPr="0081491C">
        <w:rPr>
          <w:rFonts w:asciiTheme="majorHAnsi" w:hAnsiTheme="majorHAnsi"/>
          <w:color w:val="FF0000"/>
          <w:lang w:val="hr-HR"/>
        </w:rPr>
        <w:t xml:space="preserve"> </w:t>
      </w:r>
      <w:r w:rsidRPr="000E3FDD">
        <w:rPr>
          <w:rFonts w:asciiTheme="majorHAnsi" w:hAnsiTheme="majorHAnsi"/>
          <w:lang w:val="hr-HR"/>
        </w:rPr>
        <w:t>mjernim uređajima za prodaju goriva i na čepu navlake pipca;</w:t>
      </w:r>
    </w:p>
    <w:p w14:paraId="26FDE396" w14:textId="77777777" w:rsidR="008B1A63" w:rsidRPr="002A7857" w:rsidRDefault="008B1A63" w:rsidP="008B1A63">
      <w:pPr>
        <w:pStyle w:val="ListParagraph"/>
        <w:numPr>
          <w:ilvl w:val="0"/>
          <w:numId w:val="23"/>
        </w:numPr>
        <w:spacing w:before="120" w:after="120"/>
        <w:ind w:left="357" w:hanging="357"/>
        <w:rPr>
          <w:rFonts w:asciiTheme="majorHAnsi" w:hAnsiTheme="majorHAnsi"/>
          <w:b/>
          <w:lang w:val="hr-HR"/>
        </w:rPr>
      </w:pPr>
      <w:r w:rsidRPr="002A7857">
        <w:rPr>
          <w:rFonts w:asciiTheme="majorHAnsi" w:hAnsiTheme="majorHAnsi"/>
          <w:lang w:val="hr-HR"/>
        </w:rPr>
        <w:t>kod distributera vozila.</w:t>
      </w:r>
    </w:p>
    <w:p w14:paraId="7510A9C3"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2.</w:t>
      </w:r>
      <w:r w:rsidRPr="002A7857">
        <w:rPr>
          <w:rFonts w:asciiTheme="majorHAnsi" w:hAnsiTheme="majorHAnsi"/>
          <w:b/>
          <w:lang w:val="hr-HR"/>
        </w:rPr>
        <w:tab/>
        <w:t>Tko je odgovoran za razvoj ovih novih oznaka?</w:t>
      </w:r>
    </w:p>
    <w:p w14:paraId="1B4D877E"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Posebna radna skupina unutar Tehničkog odbora </w:t>
      </w:r>
      <w:r>
        <w:rPr>
          <w:rFonts w:asciiTheme="majorHAnsi" w:hAnsiTheme="majorHAnsi"/>
          <w:lang w:val="hr-HR"/>
        </w:rPr>
        <w:t>441 (TC441</w:t>
      </w:r>
      <w:r w:rsidRPr="002A7857">
        <w:rPr>
          <w:rFonts w:asciiTheme="majorHAnsi" w:hAnsiTheme="majorHAnsi"/>
          <w:lang w:val="hr-HR"/>
        </w:rPr>
        <w:t>) CEN-a (Europski odbor za normizaciju) radila je na dizajnu i formatu novih oznaka u svrhu usklađenja s općim odredbama Direktive 2014/94/EU.</w:t>
      </w:r>
    </w:p>
    <w:p w14:paraId="0853A4C0"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Članovi radne skupine uključivali su stručnjake iz industrija vozila i goriva EU, nevladinih udruga koje su predstavljale potrošače, nacionalnih tijela za normizaciju, brojnih vlada EU i Europske komisije. </w:t>
      </w:r>
      <w:r>
        <w:rPr>
          <w:rFonts w:asciiTheme="majorHAnsi" w:hAnsiTheme="majorHAnsi"/>
          <w:lang w:val="hr-HR"/>
        </w:rPr>
        <w:t>Norma</w:t>
      </w:r>
      <w:r w:rsidRPr="002A7857">
        <w:rPr>
          <w:rFonts w:asciiTheme="majorHAnsi" w:hAnsiTheme="majorHAnsi"/>
          <w:lang w:val="hr-HR"/>
        </w:rPr>
        <w:t xml:space="preserve"> EN</w:t>
      </w:r>
      <w:r>
        <w:rPr>
          <w:rFonts w:asciiTheme="majorHAnsi" w:hAnsiTheme="majorHAnsi"/>
          <w:lang w:val="hr-HR"/>
        </w:rPr>
        <w:t xml:space="preserve"> </w:t>
      </w:r>
      <w:r w:rsidRPr="002A7857">
        <w:rPr>
          <w:rFonts w:asciiTheme="majorHAnsi" w:hAnsiTheme="majorHAnsi"/>
          <w:lang w:val="hr-HR"/>
        </w:rPr>
        <w:t>16942 opisuje tehnički dizajn i veličinu novih oznaka.</w:t>
      </w:r>
    </w:p>
    <w:p w14:paraId="0BE4012A"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3.</w:t>
      </w:r>
      <w:r w:rsidRPr="002A7857">
        <w:rPr>
          <w:rFonts w:asciiTheme="majorHAnsi" w:hAnsiTheme="majorHAnsi"/>
          <w:b/>
          <w:lang w:val="hr-HR"/>
        </w:rPr>
        <w:tab/>
        <w:t>Koja vozila podliježu predmetnom zahtjevu za označavanje?</w:t>
      </w:r>
    </w:p>
    <w:p w14:paraId="450D7090"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Oznake će se postavljati na sljedeća novoproizvedena vozila:</w:t>
      </w:r>
    </w:p>
    <w:p w14:paraId="2FA42904" w14:textId="77777777" w:rsidR="008B1A63" w:rsidRPr="002A7857"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t xml:space="preserve">mopede, motocikle, tricikle i </w:t>
      </w:r>
      <w:proofErr w:type="spellStart"/>
      <w:r w:rsidRPr="002A7857">
        <w:rPr>
          <w:rFonts w:asciiTheme="majorHAnsi" w:hAnsiTheme="majorHAnsi"/>
          <w:lang w:val="hr-HR"/>
        </w:rPr>
        <w:t>kvadricikle</w:t>
      </w:r>
      <w:proofErr w:type="spellEnd"/>
      <w:r w:rsidRPr="002A7857">
        <w:rPr>
          <w:rFonts w:asciiTheme="majorHAnsi" w:hAnsiTheme="majorHAnsi"/>
          <w:lang w:val="hr-HR"/>
        </w:rPr>
        <w:t>;</w:t>
      </w:r>
    </w:p>
    <w:p w14:paraId="47C65D16" w14:textId="77777777" w:rsidR="008B1A63" w:rsidRPr="002A7857"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lastRenderedPageBreak/>
        <w:t>osobne automobile;</w:t>
      </w:r>
    </w:p>
    <w:p w14:paraId="1FEDFEA5" w14:textId="77777777" w:rsidR="008B1A63" w:rsidRPr="002A7857"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t>laka gospodarska vozila;</w:t>
      </w:r>
    </w:p>
    <w:p w14:paraId="084EB7C4" w14:textId="77777777" w:rsidR="008B1A63" w:rsidRPr="002A7857" w:rsidRDefault="008B1A63" w:rsidP="008B1A63">
      <w:pPr>
        <w:pStyle w:val="ListParagraph"/>
        <w:numPr>
          <w:ilvl w:val="0"/>
          <w:numId w:val="23"/>
        </w:numPr>
        <w:spacing w:before="120" w:after="120"/>
        <w:ind w:left="357" w:hanging="357"/>
        <w:rPr>
          <w:rFonts w:asciiTheme="majorHAnsi" w:hAnsiTheme="majorHAnsi"/>
          <w:lang w:val="hr-HR"/>
        </w:rPr>
      </w:pPr>
      <w:r w:rsidRPr="002A7857">
        <w:rPr>
          <w:rFonts w:asciiTheme="majorHAnsi" w:hAnsiTheme="majorHAnsi"/>
          <w:lang w:val="hr-HR"/>
        </w:rPr>
        <w:t>teška gospodarska vozila;</w:t>
      </w:r>
    </w:p>
    <w:p w14:paraId="4EEC9A0B" w14:textId="77777777" w:rsidR="008B1A63" w:rsidRPr="002A7857" w:rsidRDefault="008B1A63" w:rsidP="008B1A63">
      <w:pPr>
        <w:pStyle w:val="ListParagraph"/>
        <w:numPr>
          <w:ilvl w:val="0"/>
          <w:numId w:val="23"/>
        </w:numPr>
        <w:spacing w:before="120" w:after="120"/>
        <w:ind w:left="357" w:hanging="357"/>
        <w:rPr>
          <w:rFonts w:asciiTheme="majorHAnsi" w:hAnsiTheme="majorHAnsi"/>
          <w:b/>
          <w:lang w:val="hr-HR"/>
        </w:rPr>
      </w:pPr>
      <w:r w:rsidRPr="002A7857">
        <w:rPr>
          <w:rFonts w:asciiTheme="majorHAnsi" w:hAnsiTheme="majorHAnsi"/>
          <w:lang w:val="hr-HR"/>
        </w:rPr>
        <w:t>obične i putničke autobuse.</w:t>
      </w:r>
    </w:p>
    <w:p w14:paraId="65DE688B" w14:textId="77777777" w:rsidR="008B1A63" w:rsidRPr="002A7857" w:rsidRDefault="008B1A63" w:rsidP="008B1A63">
      <w:pPr>
        <w:spacing w:before="120" w:after="120"/>
        <w:rPr>
          <w:rFonts w:asciiTheme="majorHAnsi" w:hAnsiTheme="majorHAnsi"/>
          <w:b/>
          <w:lang w:val="hr-HR"/>
        </w:rPr>
      </w:pPr>
      <w:r w:rsidRPr="002A7857">
        <w:rPr>
          <w:rFonts w:asciiTheme="majorHAnsi" w:hAnsiTheme="majorHAnsi"/>
          <w:b/>
          <w:lang w:val="hr-HR"/>
        </w:rPr>
        <w:t>4.  Odnosi li se zahtjev na sva vozila?</w:t>
      </w:r>
    </w:p>
    <w:p w14:paraId="205D8074"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Zakonom je propisano postavljanje oznaka samo na nova vozila stavljena na tržište ili registrirana od 12. listopada 2018. – „novoproizvedena vozila“. </w:t>
      </w:r>
    </w:p>
    <w:p w14:paraId="3E15A175" w14:textId="77777777" w:rsidR="008B1A63" w:rsidRPr="002A7857" w:rsidRDefault="008B1A63" w:rsidP="008B1A63">
      <w:pPr>
        <w:spacing w:before="120" w:after="120"/>
        <w:rPr>
          <w:rFonts w:asciiTheme="majorHAnsi" w:hAnsiTheme="majorHAnsi"/>
          <w:lang w:val="hr-HR"/>
        </w:rPr>
      </w:pPr>
    </w:p>
    <w:p w14:paraId="5EDFCBA3"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Proizvođači vozila ne preporučaju postavljanje oznaka na starija vozila. Molimo kontaktirajte svojeg lokalnog distributera ako trebate savjet o tome koje gorivo se preporuča za Vaše vozilo.</w:t>
      </w:r>
    </w:p>
    <w:p w14:paraId="4A9406A7"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5. Kada će predmetne oznake biti vidljive u državama članicama EU?</w:t>
      </w:r>
      <w:r w:rsidRPr="002A7857">
        <w:rPr>
          <w:rFonts w:asciiTheme="majorHAnsi" w:hAnsiTheme="majorHAnsi"/>
          <w:lang w:val="hr-HR"/>
        </w:rPr>
        <w:t xml:space="preserve"> </w:t>
      </w:r>
    </w:p>
    <w:p w14:paraId="2BD017BA"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Oznake će se stavljati na novoproizvedena vozila i na postaje za punjenje benzina, dizela, vodika (H2), stlačenog prirodnog plina (SPP</w:t>
      </w:r>
      <w:r>
        <w:rPr>
          <w:rFonts w:asciiTheme="majorHAnsi" w:hAnsiTheme="majorHAnsi"/>
          <w:lang w:val="hr-HR"/>
        </w:rPr>
        <w:t>/CNG</w:t>
      </w:r>
      <w:r w:rsidRPr="002A7857">
        <w:rPr>
          <w:rFonts w:asciiTheme="majorHAnsi" w:hAnsiTheme="majorHAnsi"/>
          <w:lang w:val="hr-HR"/>
        </w:rPr>
        <w:t>), ukapljenog prirodnog plina (UPP</w:t>
      </w:r>
      <w:r>
        <w:rPr>
          <w:rFonts w:asciiTheme="majorHAnsi" w:hAnsiTheme="majorHAnsi"/>
          <w:lang w:val="hr-HR"/>
        </w:rPr>
        <w:t>/LNG</w:t>
      </w:r>
      <w:r w:rsidRPr="002A7857">
        <w:rPr>
          <w:rFonts w:asciiTheme="majorHAnsi" w:hAnsiTheme="majorHAnsi"/>
          <w:lang w:val="hr-HR"/>
        </w:rPr>
        <w:t>) i ukapljenog naftnog plina (UNP</w:t>
      </w:r>
      <w:r>
        <w:rPr>
          <w:rFonts w:asciiTheme="majorHAnsi" w:hAnsiTheme="majorHAnsi"/>
          <w:lang w:val="hr-HR"/>
        </w:rPr>
        <w:t>/LPG</w:t>
      </w:r>
      <w:r w:rsidRPr="002A7857">
        <w:rPr>
          <w:rFonts w:asciiTheme="majorHAnsi" w:hAnsiTheme="majorHAnsi"/>
          <w:lang w:val="hr-HR"/>
        </w:rPr>
        <w:t xml:space="preserve">) na svim </w:t>
      </w:r>
      <w:r>
        <w:rPr>
          <w:rFonts w:asciiTheme="majorHAnsi" w:hAnsiTheme="majorHAnsi"/>
          <w:lang w:val="hr-HR"/>
        </w:rPr>
        <w:t xml:space="preserve">javnim </w:t>
      </w:r>
      <w:r w:rsidRPr="002A7857">
        <w:rPr>
          <w:rFonts w:asciiTheme="majorHAnsi" w:hAnsiTheme="majorHAnsi"/>
          <w:lang w:val="hr-HR"/>
        </w:rPr>
        <w:t xml:space="preserve">postajama za punjenje goriva u Europskoj uniji, na način da su iste </w:t>
      </w:r>
      <w:r>
        <w:rPr>
          <w:rFonts w:asciiTheme="majorHAnsi" w:hAnsiTheme="majorHAnsi"/>
          <w:lang w:val="hr-HR"/>
        </w:rPr>
        <w:t>potrošačima</w:t>
      </w:r>
      <w:r w:rsidRPr="002A7857">
        <w:rPr>
          <w:rFonts w:asciiTheme="majorHAnsi" w:hAnsiTheme="majorHAnsi"/>
          <w:lang w:val="hr-HR"/>
        </w:rPr>
        <w:t xml:space="preserve"> jasne i vidljive, </w:t>
      </w:r>
      <w:r w:rsidRPr="002A7857">
        <w:rPr>
          <w:rFonts w:asciiTheme="majorHAnsi" w:hAnsiTheme="majorHAnsi"/>
          <w:b/>
          <w:lang w:val="hr-HR"/>
        </w:rPr>
        <w:t>od 12. listopada 2018</w:t>
      </w:r>
      <w:r w:rsidRPr="002A7857">
        <w:rPr>
          <w:rFonts w:asciiTheme="majorHAnsi" w:hAnsiTheme="majorHAnsi"/>
          <w:lang w:val="hr-HR"/>
        </w:rPr>
        <w:t xml:space="preserve">. </w:t>
      </w:r>
    </w:p>
    <w:p w14:paraId="692AF2FD"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S obzirom da je taj datum rok za usklađenje, proizvođači vozila i operateri postaja za punjenje goriva počet će uvoditi ove oznake tijekom prijelaznog razdoblja prije navedenog datuma. Neki proizvođači vozila su već počeli postavljati oznake na nedavno uvedene modele, dok će drugi s vremenom početi uvoditi oznake na svoja vozila. </w:t>
      </w:r>
    </w:p>
    <w:p w14:paraId="2FB8CB7F"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Operateri javnih postaja za punjenje goriva će također planirati uvođenje oznaka na </w:t>
      </w:r>
      <w:r w:rsidRPr="000E3FDD">
        <w:rPr>
          <w:rFonts w:asciiTheme="majorHAnsi" w:hAnsiTheme="majorHAnsi"/>
          <w:lang w:val="hr-HR"/>
        </w:rPr>
        <w:t>mjernim uređajima za prodaju goriva</w:t>
      </w:r>
      <w:r w:rsidRPr="00776468">
        <w:rPr>
          <w:rFonts w:asciiTheme="majorHAnsi" w:hAnsiTheme="majorHAnsi"/>
          <w:color w:val="FF0000"/>
          <w:lang w:val="hr-HR"/>
        </w:rPr>
        <w:t xml:space="preserve"> </w:t>
      </w:r>
      <w:r w:rsidRPr="002A7857">
        <w:rPr>
          <w:rFonts w:asciiTheme="majorHAnsi" w:hAnsiTheme="majorHAnsi"/>
          <w:lang w:val="hr-HR"/>
        </w:rPr>
        <w:t>prema tom datumu.</w:t>
      </w:r>
    </w:p>
    <w:p w14:paraId="5F639D14"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6.  Gdje se na vozilima mogu naći oznake?</w:t>
      </w:r>
    </w:p>
    <w:p w14:paraId="0B8DEF38"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Oznake će na novoproizvedenim vozilima biti vidljive u neposrednoj blizini poklopca/čepa spremnika za gorivo.</w:t>
      </w:r>
    </w:p>
    <w:p w14:paraId="5F1F00D9"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Informacije o kompatibilnosti goriva i povezanih oznaka mogu se naći i u priručniku vlasnika vozila.</w:t>
      </w:r>
    </w:p>
    <w:p w14:paraId="437065F0"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 xml:space="preserve">7.  Gdje se oznake mogu naći na mjestima za punjenje goriva? </w:t>
      </w:r>
    </w:p>
    <w:p w14:paraId="4A03919C" w14:textId="77777777" w:rsidR="008B1A63" w:rsidRPr="002A7857" w:rsidRDefault="008B1A63" w:rsidP="008B1A63">
      <w:pPr>
        <w:spacing w:before="120" w:after="120"/>
        <w:rPr>
          <w:rFonts w:asciiTheme="majorHAnsi" w:hAnsiTheme="majorHAnsi"/>
          <w:lang w:val="hr-HR"/>
        </w:rPr>
      </w:pPr>
      <w:r w:rsidRPr="000E3FDD">
        <w:rPr>
          <w:rFonts w:asciiTheme="majorHAnsi" w:hAnsiTheme="majorHAnsi"/>
          <w:lang w:val="hr-HR"/>
        </w:rPr>
        <w:t xml:space="preserve">Oznake se postavljaju na navlaku čepa pipca za gorivo i mjerni uređaj za prodaju goriva. Oznake na pištolju i mjernom uređaju su istog dizajna kao i one koje se postavljaju na vozila i nalaze u </w:t>
      </w:r>
      <w:r w:rsidRPr="002A7857">
        <w:rPr>
          <w:rFonts w:asciiTheme="majorHAnsi" w:hAnsiTheme="majorHAnsi"/>
          <w:lang w:val="hr-HR"/>
        </w:rPr>
        <w:t>priručniku vozila – ali različit</w:t>
      </w:r>
      <w:r>
        <w:rPr>
          <w:rFonts w:asciiTheme="majorHAnsi" w:hAnsiTheme="majorHAnsi"/>
          <w:lang w:val="hr-HR"/>
        </w:rPr>
        <w:t>ih</w:t>
      </w:r>
      <w:r w:rsidRPr="002A7857">
        <w:rPr>
          <w:rFonts w:asciiTheme="majorHAnsi" w:hAnsiTheme="majorHAnsi"/>
          <w:lang w:val="hr-HR"/>
        </w:rPr>
        <w:t xml:space="preserve"> minimaln</w:t>
      </w:r>
      <w:r>
        <w:rPr>
          <w:rFonts w:asciiTheme="majorHAnsi" w:hAnsiTheme="majorHAnsi"/>
          <w:lang w:val="hr-HR"/>
        </w:rPr>
        <w:t>ih</w:t>
      </w:r>
      <w:r w:rsidRPr="002A7857">
        <w:rPr>
          <w:rFonts w:asciiTheme="majorHAnsi" w:hAnsiTheme="majorHAnsi"/>
          <w:lang w:val="hr-HR"/>
        </w:rPr>
        <w:t xml:space="preserve"> veličin</w:t>
      </w:r>
      <w:r>
        <w:rPr>
          <w:rFonts w:asciiTheme="majorHAnsi" w:hAnsiTheme="majorHAnsi"/>
          <w:lang w:val="hr-HR"/>
        </w:rPr>
        <w:t>a</w:t>
      </w:r>
      <w:r w:rsidRPr="002A7857">
        <w:rPr>
          <w:rFonts w:asciiTheme="majorHAnsi" w:hAnsiTheme="majorHAnsi"/>
          <w:lang w:val="hr-HR"/>
        </w:rPr>
        <w:t>. Na</w:t>
      </w:r>
      <w:r>
        <w:rPr>
          <w:rFonts w:asciiTheme="majorHAnsi" w:hAnsiTheme="majorHAnsi"/>
          <w:lang w:val="hr-HR"/>
        </w:rPr>
        <w:t xml:space="preserve"> mjestu za punjenje goriva je u</w:t>
      </w:r>
      <w:r w:rsidRPr="002A7857">
        <w:rPr>
          <w:rFonts w:asciiTheme="majorHAnsi" w:hAnsiTheme="majorHAnsi"/>
          <w:lang w:val="hr-HR"/>
        </w:rPr>
        <w:t xml:space="preserve"> oznaku moguće uključiti </w:t>
      </w:r>
      <w:r>
        <w:rPr>
          <w:rFonts w:asciiTheme="majorHAnsi" w:hAnsiTheme="majorHAnsi"/>
          <w:lang w:val="hr-HR"/>
        </w:rPr>
        <w:t xml:space="preserve">i </w:t>
      </w:r>
      <w:r w:rsidRPr="002A7857">
        <w:rPr>
          <w:rFonts w:asciiTheme="majorHAnsi" w:hAnsiTheme="majorHAnsi"/>
          <w:lang w:val="hr-HR"/>
        </w:rPr>
        <w:t xml:space="preserve">dodatne informacije, u skladu s </w:t>
      </w:r>
      <w:r>
        <w:rPr>
          <w:rFonts w:asciiTheme="majorHAnsi" w:hAnsiTheme="majorHAnsi"/>
          <w:lang w:val="hr-HR"/>
        </w:rPr>
        <w:t>nacionalnim</w:t>
      </w:r>
      <w:r w:rsidRPr="002A7857">
        <w:rPr>
          <w:rFonts w:asciiTheme="majorHAnsi" w:hAnsiTheme="majorHAnsi"/>
          <w:lang w:val="hr-HR"/>
        </w:rPr>
        <w:t xml:space="preserve"> zahtjevima i na </w:t>
      </w:r>
      <w:r>
        <w:rPr>
          <w:rFonts w:asciiTheme="majorHAnsi" w:hAnsiTheme="majorHAnsi"/>
          <w:lang w:val="hr-HR"/>
        </w:rPr>
        <w:t>nacionalnom</w:t>
      </w:r>
      <w:r w:rsidRPr="002A7857">
        <w:rPr>
          <w:rFonts w:asciiTheme="majorHAnsi" w:hAnsiTheme="majorHAnsi"/>
          <w:lang w:val="hr-HR"/>
        </w:rPr>
        <w:t xml:space="preserve"> jeziku.  </w:t>
      </w:r>
    </w:p>
    <w:p w14:paraId="05F5FD52" w14:textId="77777777" w:rsidR="008B1A63" w:rsidRPr="002A7857" w:rsidRDefault="008B1A63" w:rsidP="008B1A63">
      <w:pPr>
        <w:spacing w:before="120" w:after="120"/>
        <w:rPr>
          <w:rFonts w:asciiTheme="majorHAnsi" w:hAnsiTheme="majorHAnsi"/>
          <w:b/>
          <w:lang w:val="hr-HR"/>
        </w:rPr>
      </w:pPr>
      <w:r w:rsidRPr="002A7857">
        <w:rPr>
          <w:rFonts w:asciiTheme="majorHAnsi" w:hAnsiTheme="majorHAnsi"/>
          <w:b/>
          <w:lang w:val="hr-HR"/>
        </w:rPr>
        <w:t>8.  Kako oznake izgledaju?</w:t>
      </w:r>
    </w:p>
    <w:p w14:paraId="4903D8A1" w14:textId="77777777" w:rsidR="008B1A63" w:rsidRDefault="008B1A63" w:rsidP="008B1A63">
      <w:pPr>
        <w:spacing w:before="120" w:after="120"/>
        <w:rPr>
          <w:rFonts w:asciiTheme="majorHAnsi" w:hAnsiTheme="majorHAnsi"/>
          <w:lang w:val="hr-HR"/>
        </w:rPr>
      </w:pPr>
      <w:r w:rsidRPr="002A7857">
        <w:rPr>
          <w:rFonts w:asciiTheme="majorHAnsi" w:hAnsiTheme="majorHAnsi"/>
          <w:lang w:val="hr-HR"/>
        </w:rPr>
        <w:t>Postoje posebne oznake za benzinska goriva, dizel</w:t>
      </w:r>
      <w:r>
        <w:rPr>
          <w:rFonts w:asciiTheme="majorHAnsi" w:hAnsiTheme="majorHAnsi"/>
          <w:lang w:val="hr-HR"/>
        </w:rPr>
        <w:t>ska</w:t>
      </w:r>
      <w:r w:rsidRPr="002A7857">
        <w:rPr>
          <w:rFonts w:asciiTheme="majorHAnsi" w:hAnsiTheme="majorHAnsi"/>
          <w:lang w:val="hr-HR"/>
        </w:rPr>
        <w:t xml:space="preserve"> goriva, vodik, SPP</w:t>
      </w:r>
      <w:r>
        <w:rPr>
          <w:rFonts w:asciiTheme="majorHAnsi" w:hAnsiTheme="majorHAnsi"/>
          <w:lang w:val="hr-HR"/>
        </w:rPr>
        <w:t>/CNG</w:t>
      </w:r>
      <w:r w:rsidRPr="002A7857">
        <w:rPr>
          <w:rFonts w:asciiTheme="majorHAnsi" w:hAnsiTheme="majorHAnsi"/>
          <w:lang w:val="hr-HR"/>
        </w:rPr>
        <w:t>, UPP</w:t>
      </w:r>
      <w:r w:rsidRPr="00C32616">
        <w:rPr>
          <w:rFonts w:asciiTheme="majorHAnsi" w:hAnsiTheme="majorHAnsi"/>
          <w:lang w:val="hr-HR"/>
        </w:rPr>
        <w:t>/</w:t>
      </w:r>
      <w:r>
        <w:rPr>
          <w:rFonts w:asciiTheme="majorHAnsi" w:hAnsiTheme="majorHAnsi"/>
          <w:lang w:val="hr-HR"/>
        </w:rPr>
        <w:t>LNG</w:t>
      </w:r>
      <w:r w:rsidRPr="002A7857">
        <w:rPr>
          <w:rFonts w:asciiTheme="majorHAnsi" w:hAnsiTheme="majorHAnsi"/>
          <w:lang w:val="hr-HR"/>
        </w:rPr>
        <w:t xml:space="preserve"> i UNP</w:t>
      </w:r>
      <w:r w:rsidRPr="00C32616">
        <w:rPr>
          <w:rFonts w:asciiTheme="majorHAnsi" w:hAnsiTheme="majorHAnsi"/>
          <w:lang w:val="hr-HR"/>
        </w:rPr>
        <w:t>/</w:t>
      </w:r>
      <w:r>
        <w:rPr>
          <w:rFonts w:asciiTheme="majorHAnsi" w:hAnsiTheme="majorHAnsi"/>
          <w:lang w:val="hr-HR"/>
        </w:rPr>
        <w:t>LPG</w:t>
      </w:r>
      <w:r w:rsidRPr="002A7857">
        <w:rPr>
          <w:rFonts w:asciiTheme="majorHAnsi" w:hAnsiTheme="majorHAnsi"/>
          <w:lang w:val="hr-HR"/>
        </w:rPr>
        <w:t xml:space="preserve"> npr.:</w:t>
      </w:r>
    </w:p>
    <w:tbl>
      <w:tblPr>
        <w:tblStyle w:val="TableGrid"/>
        <w:tblW w:w="0" w:type="auto"/>
        <w:tblLook w:val="04A0" w:firstRow="1" w:lastRow="0" w:firstColumn="1" w:lastColumn="0" w:noHBand="0" w:noVBand="1"/>
      </w:tblPr>
      <w:tblGrid>
        <w:gridCol w:w="1143"/>
        <w:gridCol w:w="1140"/>
        <w:gridCol w:w="1141"/>
        <w:gridCol w:w="1141"/>
        <w:gridCol w:w="1141"/>
        <w:gridCol w:w="1141"/>
        <w:gridCol w:w="1163"/>
        <w:gridCol w:w="1163"/>
      </w:tblGrid>
      <w:tr w:rsidR="008B1A63" w14:paraId="624F8B0E" w14:textId="77777777" w:rsidTr="00AC1E44">
        <w:trPr>
          <w:trHeight w:val="176"/>
        </w:trPr>
        <w:tc>
          <w:tcPr>
            <w:tcW w:w="3607" w:type="dxa"/>
            <w:gridSpan w:val="3"/>
          </w:tcPr>
          <w:p w14:paraId="339A67EA" w14:textId="77777777" w:rsidR="008B1A63" w:rsidRDefault="008B1A63" w:rsidP="00AC1E44">
            <w:pPr>
              <w:spacing w:before="40" w:after="40"/>
              <w:jc w:val="center"/>
              <w:rPr>
                <w:rFonts w:asciiTheme="majorHAnsi" w:hAnsiTheme="majorHAnsi"/>
                <w:lang w:val="hr-HR"/>
              </w:rPr>
            </w:pPr>
            <w:r>
              <w:rPr>
                <w:rFonts w:asciiTheme="majorHAnsi" w:hAnsiTheme="majorHAnsi"/>
                <w:lang w:val="hr-HR"/>
              </w:rPr>
              <w:t>MOTORNI BENZINI</w:t>
            </w:r>
          </w:p>
        </w:tc>
        <w:tc>
          <w:tcPr>
            <w:tcW w:w="3609" w:type="dxa"/>
            <w:gridSpan w:val="3"/>
          </w:tcPr>
          <w:p w14:paraId="4591442A" w14:textId="77777777" w:rsidR="008B1A63" w:rsidRDefault="008B1A63" w:rsidP="00AC1E44">
            <w:pPr>
              <w:spacing w:before="40" w:after="40"/>
              <w:jc w:val="center"/>
              <w:rPr>
                <w:rFonts w:asciiTheme="majorHAnsi" w:hAnsiTheme="majorHAnsi"/>
                <w:lang w:val="hr-HR"/>
              </w:rPr>
            </w:pPr>
            <w:r>
              <w:rPr>
                <w:rFonts w:asciiTheme="majorHAnsi" w:hAnsiTheme="majorHAnsi"/>
                <w:lang w:val="hr-HR"/>
              </w:rPr>
              <w:t>DIZELSKA GORIVA</w:t>
            </w:r>
          </w:p>
        </w:tc>
        <w:tc>
          <w:tcPr>
            <w:tcW w:w="2406" w:type="dxa"/>
            <w:gridSpan w:val="2"/>
          </w:tcPr>
          <w:p w14:paraId="70F0D606" w14:textId="77777777" w:rsidR="008B1A63" w:rsidRDefault="008B1A63" w:rsidP="00AC1E44">
            <w:pPr>
              <w:spacing w:before="40" w:after="40"/>
              <w:jc w:val="center"/>
              <w:rPr>
                <w:rFonts w:asciiTheme="majorHAnsi" w:hAnsiTheme="majorHAnsi"/>
                <w:lang w:val="hr-HR"/>
              </w:rPr>
            </w:pPr>
            <w:r>
              <w:rPr>
                <w:rFonts w:asciiTheme="majorHAnsi" w:hAnsiTheme="majorHAnsi"/>
                <w:lang w:val="hr-HR"/>
              </w:rPr>
              <w:t>PLINOVITA GORIVA</w:t>
            </w:r>
          </w:p>
        </w:tc>
      </w:tr>
      <w:tr w:rsidR="008B1A63" w14:paraId="647AB5A2" w14:textId="77777777" w:rsidTr="00AC1E44">
        <w:tc>
          <w:tcPr>
            <w:tcW w:w="1202" w:type="dxa"/>
          </w:tcPr>
          <w:p w14:paraId="20968110" w14:textId="77777777" w:rsidR="008B1A63" w:rsidRDefault="008B1A63" w:rsidP="00AC1E44">
            <w:pPr>
              <w:spacing w:before="40" w:after="40"/>
              <w:jc w:val="center"/>
              <w:rPr>
                <w:rFonts w:asciiTheme="majorHAnsi" w:hAnsiTheme="majorHAnsi"/>
                <w:lang w:val="hr-HR"/>
              </w:rPr>
            </w:pPr>
            <w:r>
              <w:rPr>
                <w:noProof/>
                <w:lang w:val="hr-HR" w:eastAsia="hr-HR"/>
              </w:rPr>
              <w:lastRenderedPageBreak/>
              <w:drawing>
                <wp:inline distT="0" distB="0" distL="0" distR="0" wp14:anchorId="684AB4C0" wp14:editId="15051ECA">
                  <wp:extent cx="372632" cy="36000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632" cy="360000"/>
                          </a:xfrm>
                          <a:prstGeom prst="rect">
                            <a:avLst/>
                          </a:prstGeom>
                        </pic:spPr>
                      </pic:pic>
                    </a:graphicData>
                  </a:graphic>
                </wp:inline>
              </w:drawing>
            </w:r>
          </w:p>
        </w:tc>
        <w:tc>
          <w:tcPr>
            <w:tcW w:w="1202" w:type="dxa"/>
          </w:tcPr>
          <w:p w14:paraId="48E208A5"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007AFA96" wp14:editId="08EBFFBF">
                  <wp:extent cx="363130"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130" cy="360000"/>
                          </a:xfrm>
                          <a:prstGeom prst="rect">
                            <a:avLst/>
                          </a:prstGeom>
                        </pic:spPr>
                      </pic:pic>
                    </a:graphicData>
                  </a:graphic>
                </wp:inline>
              </w:drawing>
            </w:r>
          </w:p>
        </w:tc>
        <w:tc>
          <w:tcPr>
            <w:tcW w:w="1203" w:type="dxa"/>
          </w:tcPr>
          <w:p w14:paraId="227286DF"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60BEFF27" wp14:editId="1A4F6C6D">
                  <wp:extent cx="358371" cy="36000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371" cy="360000"/>
                          </a:xfrm>
                          <a:prstGeom prst="rect">
                            <a:avLst/>
                          </a:prstGeom>
                        </pic:spPr>
                      </pic:pic>
                    </a:graphicData>
                  </a:graphic>
                </wp:inline>
              </w:drawing>
            </w:r>
          </w:p>
        </w:tc>
        <w:tc>
          <w:tcPr>
            <w:tcW w:w="1203" w:type="dxa"/>
          </w:tcPr>
          <w:p w14:paraId="1EACE631"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73FF46F2" wp14:editId="23519858">
                  <wp:extent cx="358310" cy="36000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310" cy="360000"/>
                          </a:xfrm>
                          <a:prstGeom prst="rect">
                            <a:avLst/>
                          </a:prstGeom>
                        </pic:spPr>
                      </pic:pic>
                    </a:graphicData>
                  </a:graphic>
                </wp:inline>
              </w:drawing>
            </w:r>
          </w:p>
        </w:tc>
        <w:tc>
          <w:tcPr>
            <w:tcW w:w="1203" w:type="dxa"/>
          </w:tcPr>
          <w:p w14:paraId="6A079CB9"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0C4E2723" wp14:editId="2D4021EA">
                  <wp:extent cx="358318" cy="36000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318" cy="360000"/>
                          </a:xfrm>
                          <a:prstGeom prst="rect">
                            <a:avLst/>
                          </a:prstGeom>
                        </pic:spPr>
                      </pic:pic>
                    </a:graphicData>
                  </a:graphic>
                </wp:inline>
              </w:drawing>
            </w:r>
          </w:p>
        </w:tc>
        <w:tc>
          <w:tcPr>
            <w:tcW w:w="1203" w:type="dxa"/>
          </w:tcPr>
          <w:p w14:paraId="41144484"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1061CA54" wp14:editId="129BB476">
                  <wp:extent cx="360000" cy="3600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 cy="360000"/>
                          </a:xfrm>
                          <a:prstGeom prst="rect">
                            <a:avLst/>
                          </a:prstGeom>
                        </pic:spPr>
                      </pic:pic>
                    </a:graphicData>
                  </a:graphic>
                </wp:inline>
              </w:drawing>
            </w:r>
          </w:p>
        </w:tc>
        <w:tc>
          <w:tcPr>
            <w:tcW w:w="1203" w:type="dxa"/>
          </w:tcPr>
          <w:p w14:paraId="41955797"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7A66D254" wp14:editId="559FDAF3">
                  <wp:extent cx="438391" cy="432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391" cy="432000"/>
                          </a:xfrm>
                          <a:prstGeom prst="rect">
                            <a:avLst/>
                          </a:prstGeom>
                        </pic:spPr>
                      </pic:pic>
                    </a:graphicData>
                  </a:graphic>
                </wp:inline>
              </w:drawing>
            </w:r>
          </w:p>
        </w:tc>
        <w:tc>
          <w:tcPr>
            <w:tcW w:w="1203" w:type="dxa"/>
          </w:tcPr>
          <w:p w14:paraId="194E1B51" w14:textId="77777777" w:rsidR="008B1A63" w:rsidRDefault="008B1A63" w:rsidP="00AC1E44">
            <w:pPr>
              <w:spacing w:before="40" w:after="40"/>
              <w:jc w:val="center"/>
              <w:rPr>
                <w:rFonts w:asciiTheme="majorHAnsi" w:hAnsiTheme="majorHAnsi"/>
                <w:lang w:val="hr-HR"/>
              </w:rPr>
            </w:pPr>
            <w:r>
              <w:rPr>
                <w:noProof/>
                <w:lang w:val="hr-HR" w:eastAsia="hr-HR"/>
              </w:rPr>
              <w:drawing>
                <wp:inline distT="0" distB="0" distL="0" distR="0" wp14:anchorId="709F6E9F" wp14:editId="2F63BB81">
                  <wp:extent cx="436386" cy="43200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386" cy="432000"/>
                          </a:xfrm>
                          <a:prstGeom prst="rect">
                            <a:avLst/>
                          </a:prstGeom>
                        </pic:spPr>
                      </pic:pic>
                    </a:graphicData>
                  </a:graphic>
                </wp:inline>
              </w:drawing>
            </w:r>
          </w:p>
        </w:tc>
      </w:tr>
      <w:tr w:rsidR="008B1A63" w14:paraId="77FD3A60" w14:textId="77777777" w:rsidTr="00AC1E44">
        <w:tc>
          <w:tcPr>
            <w:tcW w:w="1202" w:type="dxa"/>
          </w:tcPr>
          <w:p w14:paraId="5297056E" w14:textId="77777777" w:rsidR="008B1A63" w:rsidRDefault="008B1A63" w:rsidP="00AC1E44">
            <w:pPr>
              <w:spacing w:before="40" w:after="40"/>
              <w:jc w:val="center"/>
              <w:rPr>
                <w:rFonts w:asciiTheme="majorHAnsi" w:hAnsiTheme="majorHAnsi"/>
                <w:lang w:val="hr-HR"/>
              </w:rPr>
            </w:pPr>
          </w:p>
        </w:tc>
        <w:tc>
          <w:tcPr>
            <w:tcW w:w="1202" w:type="dxa"/>
          </w:tcPr>
          <w:p w14:paraId="06B8374A" w14:textId="77777777" w:rsidR="008B1A63" w:rsidRDefault="008B1A63" w:rsidP="00AC1E44">
            <w:pPr>
              <w:spacing w:before="40" w:after="40"/>
              <w:jc w:val="center"/>
              <w:rPr>
                <w:rFonts w:asciiTheme="majorHAnsi" w:hAnsiTheme="majorHAnsi"/>
                <w:lang w:val="hr-HR"/>
              </w:rPr>
            </w:pPr>
          </w:p>
        </w:tc>
        <w:tc>
          <w:tcPr>
            <w:tcW w:w="1203" w:type="dxa"/>
          </w:tcPr>
          <w:p w14:paraId="642DBBB1" w14:textId="77777777" w:rsidR="008B1A63" w:rsidRDefault="008B1A63" w:rsidP="00AC1E44">
            <w:pPr>
              <w:spacing w:before="40" w:after="40"/>
              <w:jc w:val="center"/>
              <w:rPr>
                <w:rFonts w:asciiTheme="majorHAnsi" w:hAnsiTheme="majorHAnsi"/>
                <w:lang w:val="hr-HR"/>
              </w:rPr>
            </w:pPr>
          </w:p>
        </w:tc>
        <w:tc>
          <w:tcPr>
            <w:tcW w:w="1203" w:type="dxa"/>
          </w:tcPr>
          <w:p w14:paraId="49865CC7" w14:textId="77777777" w:rsidR="008B1A63" w:rsidRDefault="008B1A63" w:rsidP="00AC1E44">
            <w:pPr>
              <w:spacing w:before="40" w:after="40"/>
              <w:jc w:val="center"/>
              <w:rPr>
                <w:rFonts w:asciiTheme="majorHAnsi" w:hAnsiTheme="majorHAnsi"/>
                <w:lang w:val="hr-HR"/>
              </w:rPr>
            </w:pPr>
          </w:p>
        </w:tc>
        <w:tc>
          <w:tcPr>
            <w:tcW w:w="1203" w:type="dxa"/>
          </w:tcPr>
          <w:p w14:paraId="42A21236" w14:textId="77777777" w:rsidR="008B1A63" w:rsidRDefault="008B1A63" w:rsidP="00AC1E44">
            <w:pPr>
              <w:spacing w:before="40" w:after="40"/>
              <w:jc w:val="center"/>
              <w:rPr>
                <w:rFonts w:asciiTheme="majorHAnsi" w:hAnsiTheme="majorHAnsi"/>
                <w:lang w:val="hr-HR"/>
              </w:rPr>
            </w:pPr>
          </w:p>
        </w:tc>
        <w:tc>
          <w:tcPr>
            <w:tcW w:w="1203" w:type="dxa"/>
          </w:tcPr>
          <w:p w14:paraId="5EA18C3D" w14:textId="77777777" w:rsidR="008B1A63" w:rsidRDefault="008B1A63" w:rsidP="00AC1E44">
            <w:pPr>
              <w:spacing w:before="40" w:after="40"/>
              <w:jc w:val="center"/>
              <w:rPr>
                <w:rFonts w:asciiTheme="majorHAnsi" w:hAnsiTheme="majorHAnsi"/>
                <w:lang w:val="hr-HR"/>
              </w:rPr>
            </w:pPr>
          </w:p>
        </w:tc>
        <w:tc>
          <w:tcPr>
            <w:tcW w:w="1203" w:type="dxa"/>
          </w:tcPr>
          <w:p w14:paraId="768DEC34" w14:textId="77777777" w:rsidR="008B1A63" w:rsidRDefault="008B1A63" w:rsidP="00AC1E44">
            <w:pPr>
              <w:spacing w:before="40" w:after="40"/>
              <w:jc w:val="center"/>
              <w:rPr>
                <w:rFonts w:asciiTheme="majorHAnsi" w:hAnsiTheme="majorHAnsi"/>
                <w:lang w:val="hr-HR"/>
              </w:rPr>
            </w:pPr>
            <w:r w:rsidRPr="002A7857">
              <w:rPr>
                <w:noProof/>
                <w:lang w:val="hr-HR" w:eastAsia="hr-HR"/>
              </w:rPr>
              <w:drawing>
                <wp:inline distT="0" distB="0" distL="0" distR="0" wp14:anchorId="201D1384" wp14:editId="168265A7">
                  <wp:extent cx="451637" cy="4320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467" t="29901" r="20369" b="45736"/>
                          <a:stretch/>
                        </pic:blipFill>
                        <pic:spPr bwMode="auto">
                          <a:xfrm>
                            <a:off x="0" y="0"/>
                            <a:ext cx="451637"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1203" w:type="dxa"/>
          </w:tcPr>
          <w:p w14:paraId="3DAB843F" w14:textId="77777777" w:rsidR="008B1A63" w:rsidRDefault="008B1A63" w:rsidP="00AC1E44">
            <w:pPr>
              <w:spacing w:before="40" w:after="40"/>
              <w:jc w:val="center"/>
              <w:rPr>
                <w:rFonts w:asciiTheme="majorHAnsi" w:hAnsiTheme="majorHAnsi"/>
                <w:lang w:val="hr-HR"/>
              </w:rPr>
            </w:pPr>
            <w:r w:rsidRPr="002A7857">
              <w:rPr>
                <w:noProof/>
                <w:lang w:val="hr-HR" w:eastAsia="hr-HR"/>
              </w:rPr>
              <w:drawing>
                <wp:inline distT="0" distB="0" distL="0" distR="0" wp14:anchorId="23828213" wp14:editId="60C4D48A">
                  <wp:extent cx="451939" cy="432000"/>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467" t="60909" r="20473" b="15097"/>
                          <a:stretch/>
                        </pic:blipFill>
                        <pic:spPr bwMode="auto">
                          <a:xfrm>
                            <a:off x="0" y="0"/>
                            <a:ext cx="451939" cy="43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B57EBE" w14:textId="77777777" w:rsidR="008B1A63" w:rsidRPr="002A7857" w:rsidRDefault="008B1A63" w:rsidP="008B1A63">
      <w:pPr>
        <w:spacing w:before="120" w:after="120"/>
        <w:rPr>
          <w:rFonts w:asciiTheme="majorHAnsi" w:hAnsiTheme="majorHAnsi"/>
          <w:lang w:val="hr-HR"/>
        </w:rPr>
      </w:pPr>
    </w:p>
    <w:p w14:paraId="75CC2140" w14:textId="77777777" w:rsidR="008B1A63" w:rsidRPr="007E1E30"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9.</w:t>
      </w:r>
      <w:r w:rsidRPr="002A7857">
        <w:rPr>
          <w:rFonts w:asciiTheme="majorHAnsi" w:hAnsiTheme="majorHAnsi"/>
          <w:b/>
          <w:lang w:val="hr-HR"/>
        </w:rPr>
        <w:tab/>
      </w:r>
      <w:r>
        <w:rPr>
          <w:rFonts w:asciiTheme="majorHAnsi" w:hAnsiTheme="majorHAnsi"/>
          <w:b/>
          <w:lang w:val="hr-HR"/>
        </w:rPr>
        <w:t>Kako oznake funkcioniraju</w:t>
      </w:r>
      <w:r w:rsidRPr="007E1E30">
        <w:rPr>
          <w:rFonts w:asciiTheme="majorHAnsi" w:hAnsiTheme="majorHAnsi"/>
          <w:b/>
          <w:lang w:val="hr-HR"/>
        </w:rPr>
        <w:t>?</w:t>
      </w:r>
    </w:p>
    <w:p w14:paraId="33249979" w14:textId="77777777" w:rsidR="008B1A63" w:rsidRDefault="008B1A63" w:rsidP="008B1A63">
      <w:pPr>
        <w:spacing w:before="120" w:after="120"/>
        <w:rPr>
          <w:rFonts w:asciiTheme="majorHAnsi" w:hAnsiTheme="majorHAnsi"/>
          <w:lang w:val="hr-HR"/>
        </w:rPr>
      </w:pPr>
      <w:r>
        <w:rPr>
          <w:rFonts w:asciiTheme="majorHAnsi" w:hAnsiTheme="majorHAnsi"/>
          <w:lang w:val="hr-HR"/>
        </w:rPr>
        <w:t xml:space="preserve">Oznaka je samo vizualno pomagalo potrošačima prilikom provjere da su ispravno odabrali odgovarajuće gorivo za svoje vozilo. Potrošači trebaju pronaći oznaku na mjernom uređaju za prodaju goriva koja odgovara oznaci na njihovom vozilu.  </w:t>
      </w:r>
    </w:p>
    <w:p w14:paraId="1E208F4D"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10.</w:t>
      </w:r>
      <w:r w:rsidRPr="002A7857">
        <w:rPr>
          <w:rFonts w:asciiTheme="majorHAnsi" w:hAnsiTheme="majorHAnsi"/>
          <w:b/>
          <w:lang w:val="hr-HR"/>
        </w:rPr>
        <w:tab/>
      </w:r>
      <w:r>
        <w:rPr>
          <w:rFonts w:asciiTheme="majorHAnsi" w:hAnsiTheme="majorHAnsi"/>
          <w:b/>
          <w:lang w:val="hr-HR"/>
        </w:rPr>
        <w:t>Što zapravo znače oznake</w:t>
      </w:r>
      <w:r w:rsidRPr="002A7857">
        <w:rPr>
          <w:rFonts w:asciiTheme="majorHAnsi" w:hAnsiTheme="majorHAnsi"/>
          <w:b/>
          <w:lang w:val="hr-HR"/>
        </w:rPr>
        <w:t>?</w:t>
      </w:r>
    </w:p>
    <w:p w14:paraId="6226365E" w14:textId="77777777" w:rsidR="008B1A63" w:rsidRPr="002A7857" w:rsidRDefault="008B1A63" w:rsidP="008B1A63">
      <w:pPr>
        <w:spacing w:before="120" w:after="120"/>
        <w:rPr>
          <w:rFonts w:asciiTheme="majorHAnsi" w:hAnsiTheme="majorHAnsi"/>
          <w:lang w:val="hr-HR"/>
        </w:rPr>
      </w:pPr>
      <w:r>
        <w:rPr>
          <w:rFonts w:asciiTheme="majorHAnsi" w:hAnsiTheme="majorHAnsi"/>
          <w:lang w:val="hr-HR"/>
        </w:rPr>
        <w:t>Oznake za gorivo uključuju</w:t>
      </w:r>
      <w:r w:rsidRPr="002A7857">
        <w:rPr>
          <w:rFonts w:asciiTheme="majorHAnsi" w:hAnsiTheme="majorHAnsi"/>
          <w:lang w:val="hr-HR"/>
        </w:rPr>
        <w:t>:</w:t>
      </w:r>
    </w:p>
    <w:p w14:paraId="6F00933B"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lang w:val="hr-HR"/>
        </w:rPr>
        <w:t xml:space="preserve">(a) </w:t>
      </w:r>
      <w:r>
        <w:rPr>
          <w:rFonts w:asciiTheme="majorHAnsi" w:hAnsiTheme="majorHAnsi"/>
          <w:lang w:val="hr-HR"/>
        </w:rPr>
        <w:t>Jedinstveni identifikacijski oblik za određenu vrstu goriva</w:t>
      </w:r>
      <w:r w:rsidRPr="002A7857">
        <w:rPr>
          <w:rFonts w:asciiTheme="majorHAnsi" w:hAnsiTheme="majorHAnsi"/>
          <w:lang w:val="hr-HR"/>
        </w:rPr>
        <w:t>;</w:t>
      </w:r>
    </w:p>
    <w:p w14:paraId="041D2B88" w14:textId="77777777" w:rsidR="008B1A63" w:rsidRPr="00B141EF" w:rsidRDefault="008B1A63" w:rsidP="008B1A63">
      <w:pPr>
        <w:spacing w:before="120" w:after="120"/>
        <w:rPr>
          <w:rFonts w:asciiTheme="majorHAnsi" w:hAnsiTheme="majorHAnsi"/>
          <w:lang w:val="hr-HR"/>
        </w:rPr>
      </w:pPr>
      <w:r w:rsidRPr="002A7857">
        <w:rPr>
          <w:rFonts w:asciiTheme="majorHAnsi" w:hAnsiTheme="majorHAnsi"/>
          <w:lang w:val="hr-HR"/>
        </w:rPr>
        <w:t xml:space="preserve">(b) </w:t>
      </w:r>
      <w:r>
        <w:rPr>
          <w:rFonts w:asciiTheme="majorHAnsi" w:hAnsiTheme="majorHAnsi"/>
          <w:lang w:val="hr-HR"/>
        </w:rPr>
        <w:t>Informacije unutar identifikacijskog oblika</w:t>
      </w:r>
      <w:r w:rsidRPr="002A7857">
        <w:rPr>
          <w:rFonts w:asciiTheme="majorHAnsi" w:hAnsiTheme="majorHAnsi"/>
          <w:lang w:val="hr-HR"/>
        </w:rPr>
        <w:t xml:space="preserve"> </w:t>
      </w:r>
      <w:r>
        <w:rPr>
          <w:rFonts w:asciiTheme="majorHAnsi" w:hAnsiTheme="majorHAnsi"/>
          <w:lang w:val="hr-HR"/>
        </w:rPr>
        <w:t xml:space="preserve">o maksimalnom </w:t>
      </w:r>
      <w:r w:rsidRPr="00B141EF">
        <w:rPr>
          <w:rFonts w:asciiTheme="majorHAnsi" w:hAnsiTheme="majorHAnsi"/>
          <w:lang w:val="hr-HR"/>
        </w:rPr>
        <w:t xml:space="preserve">količini </w:t>
      </w:r>
      <w:proofErr w:type="spellStart"/>
      <w:r w:rsidRPr="00B141EF">
        <w:rPr>
          <w:rFonts w:asciiTheme="majorHAnsi" w:hAnsiTheme="majorHAnsi"/>
          <w:lang w:val="hr-HR"/>
        </w:rPr>
        <w:t>biogoriva</w:t>
      </w:r>
      <w:proofErr w:type="spellEnd"/>
      <w:r w:rsidRPr="00B141EF">
        <w:rPr>
          <w:rFonts w:asciiTheme="majorHAnsi" w:hAnsiTheme="majorHAnsi"/>
          <w:lang w:val="hr-HR"/>
        </w:rPr>
        <w:t xml:space="preserve"> u gorivu koje se preporuča za korištenje u vozilu na kojem se nalazi nova oznaka.</w:t>
      </w:r>
    </w:p>
    <w:p w14:paraId="6E1BC5DD" w14:textId="77777777" w:rsidR="008B1A63" w:rsidRPr="002A7857" w:rsidRDefault="008B1A63" w:rsidP="008B1A63">
      <w:pPr>
        <w:spacing w:before="120" w:after="120"/>
        <w:rPr>
          <w:rFonts w:asciiTheme="majorHAnsi" w:hAnsiTheme="majorHAnsi"/>
          <w:lang w:val="hr-HR"/>
        </w:rPr>
      </w:pPr>
      <w:r>
        <w:rPr>
          <w:rFonts w:asciiTheme="majorHAnsi" w:hAnsiTheme="majorHAnsi"/>
          <w:lang w:val="hr-HR"/>
        </w:rPr>
        <w:t xml:space="preserve">Odlučeno je da će oblici kao i informacije unutar oblika biti što jednostavnije. Stoga je </w:t>
      </w:r>
      <w:r w:rsidRPr="002A7857">
        <w:rPr>
          <w:rFonts w:asciiTheme="majorHAnsi" w:hAnsiTheme="majorHAnsi"/>
          <w:lang w:val="hr-HR"/>
        </w:rPr>
        <w:t xml:space="preserve">CEN </w:t>
      </w:r>
      <w:r>
        <w:rPr>
          <w:rFonts w:asciiTheme="majorHAnsi" w:hAnsiTheme="majorHAnsi"/>
          <w:lang w:val="hr-HR"/>
        </w:rPr>
        <w:t>normom</w:t>
      </w:r>
      <w:r w:rsidRPr="002A7857">
        <w:rPr>
          <w:rFonts w:asciiTheme="majorHAnsi" w:hAnsiTheme="majorHAnsi"/>
          <w:lang w:val="hr-HR"/>
        </w:rPr>
        <w:t xml:space="preserve"> EN16942</w:t>
      </w:r>
      <w:r>
        <w:rPr>
          <w:rFonts w:asciiTheme="majorHAnsi" w:hAnsiTheme="majorHAnsi"/>
          <w:lang w:val="hr-HR"/>
        </w:rPr>
        <w:t xml:space="preserve"> usvojeno sljedeće:</w:t>
      </w:r>
    </w:p>
    <w:p w14:paraId="3A8297BC" w14:textId="77777777" w:rsidR="008B1A63" w:rsidRPr="007F4AC1" w:rsidRDefault="008B1A63" w:rsidP="008B1A63">
      <w:pPr>
        <w:pStyle w:val="ListParagraph"/>
        <w:numPr>
          <w:ilvl w:val="0"/>
          <w:numId w:val="24"/>
        </w:numPr>
        <w:spacing w:before="120" w:after="120"/>
        <w:ind w:left="357" w:hanging="357"/>
        <w:rPr>
          <w:rFonts w:asciiTheme="majorHAnsi" w:hAnsiTheme="majorHAnsi"/>
          <w:lang w:val="hr-HR"/>
        </w:rPr>
      </w:pPr>
      <w:r w:rsidRPr="007F4AC1">
        <w:rPr>
          <w:rFonts w:asciiTheme="majorHAnsi" w:hAnsiTheme="majorHAnsi"/>
          <w:b/>
          <w:lang w:val="hr-HR"/>
        </w:rPr>
        <w:t xml:space="preserve">Krug za benzin. </w:t>
      </w:r>
      <w:r w:rsidRPr="007F4AC1">
        <w:rPr>
          <w:rFonts w:asciiTheme="majorHAnsi" w:hAnsiTheme="majorHAnsi"/>
          <w:lang w:val="hr-HR"/>
        </w:rPr>
        <w:t>Informacije unutar oblika</w:t>
      </w:r>
      <w:r>
        <w:rPr>
          <w:rFonts w:asciiTheme="majorHAnsi" w:hAnsiTheme="majorHAnsi"/>
          <w:lang w:val="hr-HR"/>
        </w:rPr>
        <w:t xml:space="preserve"> o </w:t>
      </w:r>
      <w:r w:rsidRPr="00B141EF">
        <w:rPr>
          <w:rFonts w:asciiTheme="majorHAnsi" w:hAnsiTheme="majorHAnsi"/>
          <w:lang w:val="hr-HR"/>
        </w:rPr>
        <w:t xml:space="preserve">količini </w:t>
      </w:r>
      <w:r>
        <w:rPr>
          <w:rFonts w:asciiTheme="majorHAnsi" w:hAnsiTheme="majorHAnsi"/>
          <w:lang w:val="hr-HR"/>
        </w:rPr>
        <w:t>bio-komponente benzina označavaju se s „</w:t>
      </w:r>
      <w:proofErr w:type="spellStart"/>
      <w:r>
        <w:rPr>
          <w:rFonts w:asciiTheme="majorHAnsi" w:hAnsiTheme="majorHAnsi"/>
          <w:lang w:val="hr-HR"/>
        </w:rPr>
        <w:t>Exx</w:t>
      </w:r>
      <w:proofErr w:type="spellEnd"/>
      <w:r>
        <w:rPr>
          <w:rFonts w:asciiTheme="majorHAnsi" w:hAnsiTheme="majorHAnsi"/>
          <w:lang w:val="hr-HR"/>
        </w:rPr>
        <w:t xml:space="preserve">“. „E“ označava „etanol“ a „xx“ maksimalnu količinu etanola koja se preporuča za vozilo a koja će na odgovarajući način biti postavljena i na postajama za punjenje goriva. U gornjoj oznaci, „E5“ znači da vozilo može koristiti benzin koji sadrži do 5% etanola, a „E10“ znači da vozilo može koristiti benzin koji sadrži do 10% etanola. „E“ kao „etanol“ je kratica koja označava da benzin smije sadržavati etanol i/ili druge </w:t>
      </w:r>
      <w:proofErr w:type="spellStart"/>
      <w:r>
        <w:rPr>
          <w:rFonts w:asciiTheme="majorHAnsi" w:hAnsiTheme="majorHAnsi"/>
          <w:lang w:val="hr-HR"/>
        </w:rPr>
        <w:t>oksigenate</w:t>
      </w:r>
      <w:proofErr w:type="spellEnd"/>
      <w:r>
        <w:rPr>
          <w:rFonts w:asciiTheme="majorHAnsi" w:hAnsiTheme="majorHAnsi"/>
          <w:lang w:val="hr-HR"/>
        </w:rPr>
        <w:t xml:space="preserve"> do određene maksimalne količine.  </w:t>
      </w:r>
    </w:p>
    <w:p w14:paraId="3F03E93B" w14:textId="77777777" w:rsidR="008B1A63" w:rsidRPr="000B6065" w:rsidRDefault="008B1A63" w:rsidP="008B1A63">
      <w:pPr>
        <w:pStyle w:val="ListParagraph"/>
        <w:numPr>
          <w:ilvl w:val="0"/>
          <w:numId w:val="24"/>
        </w:numPr>
        <w:spacing w:before="120" w:after="120"/>
        <w:ind w:left="357" w:hanging="357"/>
        <w:rPr>
          <w:rFonts w:asciiTheme="majorHAnsi" w:hAnsiTheme="majorHAnsi"/>
          <w:lang w:val="hr-HR"/>
        </w:rPr>
      </w:pPr>
      <w:r w:rsidRPr="000B6065">
        <w:rPr>
          <w:rFonts w:asciiTheme="majorHAnsi" w:hAnsiTheme="majorHAnsi"/>
          <w:b/>
          <w:lang w:val="hr-HR"/>
        </w:rPr>
        <w:t xml:space="preserve">Kvadrat za dizel. </w:t>
      </w:r>
      <w:r w:rsidRPr="000B6065">
        <w:rPr>
          <w:rFonts w:asciiTheme="majorHAnsi" w:hAnsiTheme="majorHAnsi"/>
          <w:lang w:val="hr-HR"/>
        </w:rPr>
        <w:t xml:space="preserve"> Informacije unutar oblika o </w:t>
      </w:r>
      <w:r w:rsidRPr="00B141EF">
        <w:rPr>
          <w:rFonts w:asciiTheme="majorHAnsi" w:hAnsiTheme="majorHAnsi"/>
          <w:lang w:val="hr-HR"/>
        </w:rPr>
        <w:t xml:space="preserve">količini </w:t>
      </w:r>
      <w:r>
        <w:rPr>
          <w:rFonts w:asciiTheme="majorHAnsi" w:hAnsiTheme="majorHAnsi"/>
          <w:lang w:val="hr-HR"/>
        </w:rPr>
        <w:t>bio-komponente dizelskog goriva</w:t>
      </w:r>
      <w:r w:rsidRPr="000B6065">
        <w:rPr>
          <w:rFonts w:asciiTheme="majorHAnsi" w:hAnsiTheme="majorHAnsi"/>
          <w:lang w:val="hr-HR"/>
        </w:rPr>
        <w:t xml:space="preserve"> označavaju se s „</w:t>
      </w:r>
      <w:proofErr w:type="spellStart"/>
      <w:r>
        <w:rPr>
          <w:rFonts w:asciiTheme="majorHAnsi" w:hAnsiTheme="majorHAnsi"/>
          <w:lang w:val="hr-HR"/>
        </w:rPr>
        <w:t>B</w:t>
      </w:r>
      <w:r w:rsidRPr="000B6065">
        <w:rPr>
          <w:rFonts w:asciiTheme="majorHAnsi" w:hAnsiTheme="majorHAnsi"/>
          <w:lang w:val="hr-HR"/>
        </w:rPr>
        <w:t>xx</w:t>
      </w:r>
      <w:proofErr w:type="spellEnd"/>
      <w:r w:rsidRPr="000B6065">
        <w:rPr>
          <w:rFonts w:asciiTheme="majorHAnsi" w:hAnsiTheme="majorHAnsi"/>
          <w:lang w:val="hr-HR"/>
        </w:rPr>
        <w:t>“. „</w:t>
      </w:r>
      <w:r>
        <w:rPr>
          <w:rFonts w:asciiTheme="majorHAnsi" w:hAnsiTheme="majorHAnsi"/>
          <w:lang w:val="hr-HR"/>
        </w:rPr>
        <w:t>B</w:t>
      </w:r>
      <w:r w:rsidRPr="000B6065">
        <w:rPr>
          <w:rFonts w:asciiTheme="majorHAnsi" w:hAnsiTheme="majorHAnsi"/>
          <w:lang w:val="hr-HR"/>
        </w:rPr>
        <w:t xml:space="preserve">“ označava </w:t>
      </w:r>
      <w:proofErr w:type="spellStart"/>
      <w:r>
        <w:rPr>
          <w:rFonts w:asciiTheme="majorHAnsi" w:hAnsiTheme="majorHAnsi"/>
          <w:lang w:val="hr-HR"/>
        </w:rPr>
        <w:t>biodizel</w:t>
      </w:r>
      <w:proofErr w:type="spellEnd"/>
      <w:r w:rsidRPr="000B6065">
        <w:rPr>
          <w:rFonts w:asciiTheme="majorHAnsi" w:hAnsiTheme="majorHAnsi"/>
          <w:lang w:val="hr-HR"/>
        </w:rPr>
        <w:t xml:space="preserve"> a „xx“ maksimalnu količinu </w:t>
      </w:r>
      <w:proofErr w:type="spellStart"/>
      <w:r>
        <w:rPr>
          <w:rFonts w:asciiTheme="majorHAnsi" w:hAnsiTheme="majorHAnsi"/>
          <w:lang w:val="hr-HR"/>
        </w:rPr>
        <w:t>biodizela</w:t>
      </w:r>
      <w:proofErr w:type="spellEnd"/>
      <w:r w:rsidRPr="000B6065">
        <w:rPr>
          <w:rFonts w:asciiTheme="majorHAnsi" w:hAnsiTheme="majorHAnsi"/>
          <w:lang w:val="hr-HR"/>
        </w:rPr>
        <w:t xml:space="preserve"> koja se preporuča za vozilo a koja će na odgovarajući način biti postavljena i na postajama</w:t>
      </w:r>
      <w:r>
        <w:rPr>
          <w:rFonts w:asciiTheme="majorHAnsi" w:hAnsiTheme="majorHAnsi"/>
          <w:lang w:val="hr-HR"/>
        </w:rPr>
        <w:t xml:space="preserve"> za punjenje goriva</w:t>
      </w:r>
      <w:r w:rsidRPr="000B6065">
        <w:rPr>
          <w:rFonts w:asciiTheme="majorHAnsi" w:hAnsiTheme="majorHAnsi"/>
          <w:lang w:val="hr-HR"/>
        </w:rPr>
        <w:t>.</w:t>
      </w:r>
      <w:r w:rsidRPr="00F26105">
        <w:rPr>
          <w:rFonts w:asciiTheme="majorHAnsi" w:hAnsiTheme="majorHAnsi"/>
          <w:lang w:val="hr-HR"/>
        </w:rPr>
        <w:t xml:space="preserve"> </w:t>
      </w:r>
      <w:r>
        <w:rPr>
          <w:rFonts w:asciiTheme="majorHAnsi" w:hAnsiTheme="majorHAnsi"/>
          <w:lang w:val="hr-HR"/>
        </w:rPr>
        <w:t xml:space="preserve">U gornjoj oznaci, „B7“ znači da vozilo može koristiti dizelsko gorivo koje sadrži do 7% </w:t>
      </w:r>
      <w:proofErr w:type="spellStart"/>
      <w:r>
        <w:rPr>
          <w:rFonts w:asciiTheme="majorHAnsi" w:hAnsiTheme="majorHAnsi"/>
          <w:lang w:val="hr-HR"/>
        </w:rPr>
        <w:t>biodizela</w:t>
      </w:r>
      <w:proofErr w:type="spellEnd"/>
      <w:r>
        <w:rPr>
          <w:rFonts w:asciiTheme="majorHAnsi" w:hAnsiTheme="majorHAnsi"/>
          <w:lang w:val="hr-HR"/>
        </w:rPr>
        <w:t xml:space="preserve">, a „B10“ znači da vozilo može koristiti dizelsko gorivo koje sadrži do 10% </w:t>
      </w:r>
      <w:proofErr w:type="spellStart"/>
      <w:r>
        <w:rPr>
          <w:rFonts w:asciiTheme="majorHAnsi" w:hAnsiTheme="majorHAnsi"/>
          <w:lang w:val="hr-HR"/>
        </w:rPr>
        <w:t>biodizela</w:t>
      </w:r>
      <w:proofErr w:type="spellEnd"/>
      <w:r>
        <w:rPr>
          <w:rFonts w:asciiTheme="majorHAnsi" w:hAnsiTheme="majorHAnsi"/>
          <w:lang w:val="hr-HR"/>
        </w:rPr>
        <w:t>. „B“ kao „</w:t>
      </w:r>
      <w:proofErr w:type="spellStart"/>
      <w:r>
        <w:rPr>
          <w:rFonts w:asciiTheme="majorHAnsi" w:hAnsiTheme="majorHAnsi"/>
          <w:lang w:val="hr-HR"/>
        </w:rPr>
        <w:t>biodizel</w:t>
      </w:r>
      <w:proofErr w:type="spellEnd"/>
      <w:r>
        <w:rPr>
          <w:rFonts w:asciiTheme="majorHAnsi" w:hAnsiTheme="majorHAnsi"/>
          <w:lang w:val="hr-HR"/>
        </w:rPr>
        <w:t xml:space="preserve">“ je kratica koja označava da dizelsko gorivo smije sadržavati </w:t>
      </w:r>
      <w:proofErr w:type="spellStart"/>
      <w:r>
        <w:rPr>
          <w:rFonts w:asciiTheme="majorHAnsi" w:hAnsiTheme="majorHAnsi"/>
          <w:lang w:val="hr-HR"/>
        </w:rPr>
        <w:t>biodizel</w:t>
      </w:r>
      <w:proofErr w:type="spellEnd"/>
      <w:r>
        <w:rPr>
          <w:rFonts w:asciiTheme="majorHAnsi" w:hAnsiTheme="majorHAnsi"/>
          <w:lang w:val="hr-HR"/>
        </w:rPr>
        <w:t xml:space="preserve"> u obliku </w:t>
      </w:r>
      <w:r>
        <w:rPr>
          <w:rFonts w:asciiTheme="majorHAnsi" w:hAnsiTheme="majorHAnsi"/>
          <w:bCs/>
          <w:lang w:val="hr-HR"/>
        </w:rPr>
        <w:t>metilnog estera</w:t>
      </w:r>
      <w:r w:rsidRPr="00F26105">
        <w:rPr>
          <w:rFonts w:asciiTheme="majorHAnsi" w:hAnsiTheme="majorHAnsi"/>
          <w:lang w:val="hr-HR"/>
        </w:rPr>
        <w:t xml:space="preserve"> masnih kiselina</w:t>
      </w:r>
      <w:r>
        <w:rPr>
          <w:rFonts w:asciiTheme="majorHAnsi" w:hAnsiTheme="majorHAnsi"/>
          <w:lang w:val="hr-HR"/>
        </w:rPr>
        <w:t xml:space="preserve"> (FAME) do određenog maksimalnog </w:t>
      </w:r>
      <w:r w:rsidRPr="00B141EF">
        <w:rPr>
          <w:rFonts w:asciiTheme="majorHAnsi" w:hAnsiTheme="majorHAnsi"/>
          <w:lang w:val="hr-HR"/>
        </w:rPr>
        <w:t>postotnog udjela</w:t>
      </w:r>
      <w:r>
        <w:rPr>
          <w:rFonts w:asciiTheme="majorHAnsi" w:hAnsiTheme="majorHAnsi"/>
          <w:lang w:val="hr-HR"/>
        </w:rPr>
        <w:t xml:space="preserve">, kako pokazuje </w:t>
      </w:r>
      <w:r w:rsidRPr="00B141EF">
        <w:rPr>
          <w:rFonts w:asciiTheme="majorHAnsi" w:hAnsiTheme="majorHAnsi"/>
          <w:lang w:val="hr-HR"/>
        </w:rPr>
        <w:t>pripadajuća o</w:t>
      </w:r>
      <w:r>
        <w:rPr>
          <w:rFonts w:asciiTheme="majorHAnsi" w:hAnsiTheme="majorHAnsi"/>
          <w:lang w:val="hr-HR"/>
        </w:rPr>
        <w:t>znaka.</w:t>
      </w:r>
    </w:p>
    <w:p w14:paraId="14173F6C" w14:textId="77777777" w:rsidR="008B1A63" w:rsidRPr="0047567D" w:rsidRDefault="008B1A63" w:rsidP="008B1A63">
      <w:pPr>
        <w:pStyle w:val="ListParagraph"/>
        <w:numPr>
          <w:ilvl w:val="0"/>
          <w:numId w:val="24"/>
        </w:numPr>
        <w:spacing w:before="120" w:after="120"/>
        <w:ind w:left="357" w:hanging="357"/>
        <w:rPr>
          <w:rFonts w:asciiTheme="majorHAnsi" w:hAnsiTheme="majorHAnsi"/>
          <w:lang w:val="hr-HR"/>
        </w:rPr>
      </w:pPr>
      <w:r w:rsidRPr="0047567D">
        <w:rPr>
          <w:rFonts w:asciiTheme="majorHAnsi" w:hAnsiTheme="majorHAnsi"/>
          <w:b/>
          <w:lang w:val="hr-HR"/>
        </w:rPr>
        <w:t>Kvadrat se koristi i za „XTL“</w:t>
      </w:r>
      <w:r w:rsidRPr="0047567D">
        <w:rPr>
          <w:rFonts w:asciiTheme="majorHAnsi" w:hAnsiTheme="majorHAnsi"/>
          <w:lang w:val="hr-HR"/>
        </w:rPr>
        <w:t xml:space="preserve">, što je vrsta parafinskog dizelskog goriva proizvedenog iz </w:t>
      </w:r>
      <w:r>
        <w:rPr>
          <w:rFonts w:asciiTheme="majorHAnsi" w:hAnsiTheme="majorHAnsi"/>
          <w:lang w:val="hr-HR"/>
        </w:rPr>
        <w:t>obnovljivih ili fosilnih</w:t>
      </w:r>
      <w:r w:rsidRPr="0047567D">
        <w:rPr>
          <w:rFonts w:asciiTheme="majorHAnsi" w:hAnsiTheme="majorHAnsi"/>
          <w:lang w:val="hr-HR"/>
        </w:rPr>
        <w:t xml:space="preserve"> </w:t>
      </w:r>
      <w:r>
        <w:rPr>
          <w:rFonts w:asciiTheme="majorHAnsi" w:hAnsiTheme="majorHAnsi"/>
          <w:lang w:val="hr-HR"/>
        </w:rPr>
        <w:t xml:space="preserve">sirovina koji daje dizelsko gorivo dobiveno sintezom ili </w:t>
      </w:r>
      <w:proofErr w:type="spellStart"/>
      <w:r>
        <w:rPr>
          <w:rFonts w:asciiTheme="majorHAnsi" w:hAnsiTheme="majorHAnsi"/>
          <w:lang w:val="hr-HR"/>
        </w:rPr>
        <w:t>hidroobradom</w:t>
      </w:r>
      <w:proofErr w:type="spellEnd"/>
      <w:r>
        <w:rPr>
          <w:rFonts w:asciiTheme="majorHAnsi" w:hAnsiTheme="majorHAnsi"/>
          <w:lang w:val="hr-HR"/>
        </w:rPr>
        <w:t xml:space="preserve"> koje je po sastavu slično tradicionalnom fosilnom dizelskom gorivu. Primjenjiva CEN norma za XTL je EN 15940. Pritom „XTL“ označava parafinsko dizelsko gorivo kod kojeg se koristilo čisto gorivo.</w:t>
      </w:r>
      <w:r w:rsidRPr="0047567D">
        <w:rPr>
          <w:rFonts w:asciiTheme="majorHAnsi" w:hAnsiTheme="majorHAnsi"/>
          <w:lang w:val="hr-HR"/>
        </w:rPr>
        <w:t xml:space="preserve">    </w:t>
      </w:r>
    </w:p>
    <w:p w14:paraId="5AE8D48B" w14:textId="77777777" w:rsidR="008B1A63" w:rsidRPr="00DC4245" w:rsidRDefault="008B1A63" w:rsidP="008B1A63">
      <w:pPr>
        <w:pStyle w:val="ListParagraph"/>
        <w:numPr>
          <w:ilvl w:val="0"/>
          <w:numId w:val="24"/>
        </w:numPr>
        <w:spacing w:before="120" w:after="120"/>
        <w:ind w:left="357" w:hanging="357"/>
        <w:rPr>
          <w:rFonts w:asciiTheme="majorHAnsi" w:hAnsiTheme="majorHAnsi"/>
          <w:lang w:val="hr-HR"/>
        </w:rPr>
      </w:pPr>
      <w:r>
        <w:rPr>
          <w:rFonts w:asciiTheme="majorHAnsi" w:hAnsiTheme="majorHAnsi"/>
          <w:b/>
          <w:lang w:val="hr-HR"/>
        </w:rPr>
        <w:t>Romb</w:t>
      </w:r>
      <w:r w:rsidRPr="00DC4245">
        <w:rPr>
          <w:rFonts w:asciiTheme="majorHAnsi" w:hAnsiTheme="majorHAnsi"/>
          <w:b/>
          <w:lang w:val="hr-HR"/>
        </w:rPr>
        <w:t xml:space="preserve"> za plinovita goriva</w:t>
      </w:r>
      <w:r w:rsidRPr="00DC4245">
        <w:rPr>
          <w:rFonts w:asciiTheme="majorHAnsi" w:hAnsiTheme="majorHAnsi"/>
          <w:lang w:val="hr-HR"/>
        </w:rPr>
        <w:t>. Informacije unutar oblika ukazuju na to može li se vozilo puniti vodikom (‘H2’), stlačenim prirodnim plinom (‘SPP</w:t>
      </w:r>
      <w:r>
        <w:rPr>
          <w:rFonts w:asciiTheme="majorHAnsi" w:hAnsiTheme="majorHAnsi"/>
          <w:lang w:val="hr-HR"/>
        </w:rPr>
        <w:t>/CNG</w:t>
      </w:r>
      <w:r w:rsidRPr="00DC4245">
        <w:rPr>
          <w:rFonts w:asciiTheme="majorHAnsi" w:hAnsiTheme="majorHAnsi"/>
          <w:lang w:val="hr-HR"/>
        </w:rPr>
        <w:t>’), ukapljenim prirodnim plinom (‘UPP</w:t>
      </w:r>
      <w:r>
        <w:rPr>
          <w:rFonts w:asciiTheme="majorHAnsi" w:hAnsiTheme="majorHAnsi"/>
          <w:lang w:val="hr-HR"/>
        </w:rPr>
        <w:t>/LNG</w:t>
      </w:r>
      <w:r w:rsidRPr="00DC4245">
        <w:rPr>
          <w:rFonts w:asciiTheme="majorHAnsi" w:hAnsiTheme="majorHAnsi"/>
          <w:lang w:val="hr-HR"/>
        </w:rPr>
        <w:t>’) ili ukapljenim naftnim plinom (‘UNP</w:t>
      </w:r>
      <w:r>
        <w:rPr>
          <w:rFonts w:asciiTheme="majorHAnsi" w:hAnsiTheme="majorHAnsi"/>
          <w:lang w:val="hr-HR"/>
        </w:rPr>
        <w:t>/LPG</w:t>
      </w:r>
      <w:r w:rsidRPr="00DC4245">
        <w:rPr>
          <w:rFonts w:asciiTheme="majorHAnsi" w:hAnsiTheme="majorHAnsi"/>
          <w:lang w:val="hr-HR"/>
        </w:rPr>
        <w:t>’).</w:t>
      </w:r>
    </w:p>
    <w:p w14:paraId="312ECF2F" w14:textId="77777777" w:rsidR="008B1A63" w:rsidRPr="00F05C9E" w:rsidRDefault="008B1A63" w:rsidP="008B1A63">
      <w:pPr>
        <w:spacing w:before="120" w:after="120"/>
        <w:ind w:left="426" w:hanging="426"/>
        <w:rPr>
          <w:rFonts w:asciiTheme="majorHAnsi" w:hAnsiTheme="majorHAnsi"/>
          <w:b/>
          <w:lang w:val="hr-HR"/>
        </w:rPr>
      </w:pPr>
      <w:r w:rsidRPr="00F05C9E">
        <w:rPr>
          <w:rFonts w:asciiTheme="majorHAnsi" w:hAnsiTheme="majorHAnsi"/>
          <w:b/>
          <w:lang w:val="hr-HR"/>
        </w:rPr>
        <w:t xml:space="preserve">10. Koriste li se oznake </w:t>
      </w:r>
      <w:r>
        <w:rPr>
          <w:rFonts w:asciiTheme="majorHAnsi" w:hAnsiTheme="majorHAnsi"/>
          <w:b/>
          <w:lang w:val="hr-HR"/>
        </w:rPr>
        <w:t xml:space="preserve">i </w:t>
      </w:r>
      <w:r w:rsidRPr="00F05C9E">
        <w:rPr>
          <w:rFonts w:asciiTheme="majorHAnsi" w:hAnsiTheme="majorHAnsi"/>
          <w:b/>
          <w:lang w:val="hr-HR"/>
        </w:rPr>
        <w:t xml:space="preserve">za neke druge svrhe osim za provjeru kompatibilnosti goriva i vozila? </w:t>
      </w:r>
    </w:p>
    <w:p w14:paraId="6BCF0D1F" w14:textId="77777777" w:rsidR="008B1A63" w:rsidRPr="00F05C9E" w:rsidRDefault="008B1A63" w:rsidP="008B1A63">
      <w:pPr>
        <w:spacing w:before="120" w:after="120"/>
        <w:rPr>
          <w:rFonts w:asciiTheme="majorHAnsi" w:hAnsiTheme="majorHAnsi"/>
          <w:lang w:val="hr-HR"/>
        </w:rPr>
      </w:pPr>
      <w:r w:rsidRPr="00F05C9E">
        <w:rPr>
          <w:rFonts w:asciiTheme="majorHAnsi" w:hAnsiTheme="majorHAnsi"/>
          <w:lang w:val="hr-HR"/>
        </w:rPr>
        <w:lastRenderedPageBreak/>
        <w:t xml:space="preserve">Zemlje članice mogu </w:t>
      </w:r>
      <w:r>
        <w:rPr>
          <w:rFonts w:asciiTheme="majorHAnsi" w:hAnsiTheme="majorHAnsi"/>
          <w:lang w:val="hr-HR"/>
        </w:rPr>
        <w:t>prema vlastitom izboru</w:t>
      </w:r>
      <w:r w:rsidRPr="00F05C9E">
        <w:rPr>
          <w:rFonts w:asciiTheme="majorHAnsi" w:hAnsiTheme="majorHAnsi"/>
          <w:lang w:val="hr-HR"/>
        </w:rPr>
        <w:t xml:space="preserve"> </w:t>
      </w:r>
      <w:r>
        <w:rPr>
          <w:rFonts w:asciiTheme="majorHAnsi" w:hAnsiTheme="majorHAnsi"/>
          <w:lang w:val="hr-HR"/>
        </w:rPr>
        <w:t>uključiti i</w:t>
      </w:r>
      <w:r w:rsidRPr="00F05C9E">
        <w:rPr>
          <w:rFonts w:asciiTheme="majorHAnsi" w:hAnsiTheme="majorHAnsi"/>
          <w:lang w:val="hr-HR"/>
        </w:rPr>
        <w:t xml:space="preserve"> dodatne informacije za potrošače </w:t>
      </w:r>
      <w:r>
        <w:rPr>
          <w:rFonts w:asciiTheme="majorHAnsi" w:hAnsiTheme="majorHAnsi"/>
          <w:lang w:val="hr-HR"/>
        </w:rPr>
        <w:t>povezane s oznakom u odnosu na standardni dizajn</w:t>
      </w:r>
      <w:r w:rsidRPr="00F05C9E">
        <w:rPr>
          <w:rFonts w:asciiTheme="majorHAnsi" w:hAnsiTheme="majorHAnsi"/>
          <w:lang w:val="hr-HR"/>
        </w:rPr>
        <w:t xml:space="preserve">. </w:t>
      </w:r>
      <w:r>
        <w:rPr>
          <w:rFonts w:asciiTheme="majorHAnsi" w:hAnsiTheme="majorHAnsi"/>
          <w:lang w:val="hr-HR"/>
        </w:rPr>
        <w:t xml:space="preserve"> Takve dodatne informacije za potrošače će se izlagati samo na </w:t>
      </w:r>
      <w:r w:rsidRPr="00B141EF">
        <w:rPr>
          <w:rFonts w:asciiTheme="majorHAnsi" w:hAnsiTheme="majorHAnsi"/>
          <w:lang w:val="hr-HR"/>
        </w:rPr>
        <w:t>mjernim uređajima za prodaju goriva.</w:t>
      </w:r>
    </w:p>
    <w:p w14:paraId="0137504F" w14:textId="77777777" w:rsidR="008B1A63" w:rsidRPr="007B70E8" w:rsidRDefault="008B1A63" w:rsidP="008B1A63">
      <w:pPr>
        <w:spacing w:before="120" w:after="120"/>
        <w:ind w:left="426" w:hanging="426"/>
        <w:rPr>
          <w:rFonts w:asciiTheme="majorHAnsi" w:hAnsiTheme="majorHAnsi"/>
          <w:lang w:val="hr-HR"/>
        </w:rPr>
      </w:pPr>
      <w:r w:rsidRPr="007B70E8">
        <w:rPr>
          <w:rFonts w:asciiTheme="majorHAnsi" w:hAnsiTheme="majorHAnsi"/>
          <w:b/>
          <w:lang w:val="hr-HR"/>
        </w:rPr>
        <w:t>11.</w:t>
      </w:r>
      <w:r w:rsidRPr="007B70E8">
        <w:rPr>
          <w:rFonts w:asciiTheme="majorHAnsi" w:hAnsiTheme="majorHAnsi"/>
          <w:b/>
          <w:lang w:val="hr-HR"/>
        </w:rPr>
        <w:tab/>
        <w:t>Što je s vozilima na električni pogon ili vozilima koja pokreće isključivo električna energija?</w:t>
      </w:r>
    </w:p>
    <w:p w14:paraId="4210857F" w14:textId="77777777" w:rsidR="008B1A63" w:rsidRDefault="008B1A63" w:rsidP="008B1A63">
      <w:pPr>
        <w:spacing w:before="120" w:after="120"/>
        <w:rPr>
          <w:rFonts w:asciiTheme="majorHAnsi" w:hAnsiTheme="majorHAnsi"/>
          <w:lang w:val="hr-HR"/>
        </w:rPr>
      </w:pPr>
      <w:r>
        <w:rPr>
          <w:rFonts w:asciiTheme="majorHAnsi" w:hAnsiTheme="majorHAnsi"/>
          <w:lang w:val="hr-HR"/>
        </w:rPr>
        <w:t>Trenutno je u pripremi CEN norma za oznake koje će se primjenjivati na električna vozila i mjesta za njihovo punjenje.</w:t>
      </w:r>
    </w:p>
    <w:p w14:paraId="0EDE25B8" w14:textId="77777777" w:rsidR="008B1A63" w:rsidRPr="007B70E8" w:rsidRDefault="008B1A63" w:rsidP="008B1A63">
      <w:pPr>
        <w:spacing w:before="120" w:after="120"/>
        <w:rPr>
          <w:rFonts w:asciiTheme="majorHAnsi" w:hAnsiTheme="majorHAnsi"/>
          <w:lang w:val="hr-HR"/>
        </w:rPr>
      </w:pPr>
      <w:r>
        <w:rPr>
          <w:rFonts w:asciiTheme="majorHAnsi" w:hAnsiTheme="majorHAnsi"/>
          <w:lang w:val="hr-HR"/>
        </w:rPr>
        <w:t xml:space="preserve">Očekuje se pravodobna objava slične komunikacije za električna vozila i mjesta za njihovo punjenje. </w:t>
      </w:r>
    </w:p>
    <w:p w14:paraId="7B59B4D8"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12.</w:t>
      </w:r>
      <w:r w:rsidRPr="002A7857">
        <w:rPr>
          <w:rFonts w:asciiTheme="majorHAnsi" w:hAnsiTheme="majorHAnsi"/>
          <w:b/>
          <w:lang w:val="hr-HR"/>
        </w:rPr>
        <w:tab/>
      </w:r>
      <w:r>
        <w:rPr>
          <w:rFonts w:asciiTheme="majorHAnsi" w:hAnsiTheme="majorHAnsi"/>
          <w:b/>
          <w:lang w:val="hr-HR"/>
        </w:rPr>
        <w:t>Kako oznake funkcioniraju u praksi</w:t>
      </w:r>
      <w:r w:rsidRPr="002A7857">
        <w:rPr>
          <w:rFonts w:asciiTheme="majorHAnsi" w:hAnsiTheme="majorHAnsi"/>
          <w:b/>
          <w:lang w:val="hr-HR"/>
        </w:rPr>
        <w:t>?</w:t>
      </w:r>
    </w:p>
    <w:p w14:paraId="3B7BBABB" w14:textId="77777777" w:rsidR="008B1A63" w:rsidRPr="002A7857" w:rsidRDefault="008B1A63" w:rsidP="008B1A63">
      <w:pPr>
        <w:spacing w:before="120" w:after="120"/>
        <w:rPr>
          <w:rFonts w:asciiTheme="majorHAnsi" w:hAnsiTheme="majorHAnsi"/>
          <w:i/>
          <w:lang w:val="hr-HR"/>
        </w:rPr>
      </w:pPr>
      <w:r>
        <w:rPr>
          <w:rFonts w:asciiTheme="majorHAnsi" w:hAnsiTheme="majorHAnsi"/>
          <w:i/>
          <w:lang w:val="hr-HR"/>
        </w:rPr>
        <w:t>Primjer</w:t>
      </w:r>
      <w:r w:rsidRPr="002A7857">
        <w:rPr>
          <w:rFonts w:asciiTheme="majorHAnsi" w:hAnsiTheme="majorHAnsi"/>
          <w:i/>
          <w:lang w:val="hr-HR"/>
        </w:rPr>
        <w:t xml:space="preserve"> (</w:t>
      </w:r>
      <w:r>
        <w:rPr>
          <w:rFonts w:asciiTheme="majorHAnsi" w:hAnsiTheme="majorHAnsi"/>
          <w:i/>
          <w:lang w:val="hr-HR"/>
        </w:rPr>
        <w:t>neobvezujuće za bilo kojeg proizvođača originalne opreme</w:t>
      </w:r>
      <w:r w:rsidRPr="002A7857">
        <w:rPr>
          <w:rFonts w:asciiTheme="majorHAnsi" w:hAnsiTheme="majorHAnsi"/>
          <w:i/>
          <w:lang w:val="hr-HR"/>
        </w:rPr>
        <w:t>):</w:t>
      </w:r>
    </w:p>
    <w:p w14:paraId="14B75FF1"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noProof/>
          <w:lang w:val="hr-HR" w:eastAsia="hr-HR"/>
        </w:rPr>
        <w:drawing>
          <wp:inline distT="0" distB="0" distL="0" distR="0" wp14:anchorId="7A1A9077" wp14:editId="6825195E">
            <wp:extent cx="3952569"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1668" cy="2719416"/>
                    </a:xfrm>
                    <a:prstGeom prst="rect">
                      <a:avLst/>
                    </a:prstGeom>
                    <a:noFill/>
                    <a:ln>
                      <a:noFill/>
                    </a:ln>
                  </pic:spPr>
                </pic:pic>
              </a:graphicData>
            </a:graphic>
          </wp:inline>
        </w:drawing>
      </w:r>
    </w:p>
    <w:p w14:paraId="59E86961" w14:textId="77777777" w:rsidR="008B1A63" w:rsidRPr="002A7857" w:rsidRDefault="008B1A63" w:rsidP="008B1A63">
      <w:pPr>
        <w:spacing w:before="120" w:after="120"/>
        <w:rPr>
          <w:rFonts w:asciiTheme="majorHAnsi" w:hAnsiTheme="majorHAnsi"/>
          <w:lang w:val="hr-HR"/>
        </w:rPr>
      </w:pPr>
      <w:r>
        <w:rPr>
          <w:rFonts w:asciiTheme="majorHAnsi" w:hAnsiTheme="majorHAnsi"/>
          <w:lang w:val="hr-HR"/>
        </w:rPr>
        <w:t xml:space="preserve">Primjer oznake </w:t>
      </w:r>
      <w:r w:rsidRPr="00B141EF">
        <w:rPr>
          <w:rFonts w:asciiTheme="majorHAnsi" w:hAnsiTheme="majorHAnsi"/>
          <w:lang w:val="hr-HR"/>
        </w:rPr>
        <w:t xml:space="preserve">na navlaci čepa pipca </w:t>
      </w:r>
      <w:r>
        <w:rPr>
          <w:rFonts w:asciiTheme="majorHAnsi" w:hAnsiTheme="majorHAnsi"/>
          <w:lang w:val="hr-HR"/>
        </w:rPr>
        <w:t>za gorivo</w:t>
      </w:r>
    </w:p>
    <w:p w14:paraId="441F9D5B" w14:textId="77777777" w:rsidR="008B1A63" w:rsidRPr="002A7857" w:rsidRDefault="008B1A63" w:rsidP="008B1A63">
      <w:pPr>
        <w:spacing w:before="120" w:after="120"/>
        <w:rPr>
          <w:rFonts w:asciiTheme="majorHAnsi" w:hAnsiTheme="majorHAnsi"/>
          <w:lang w:val="hr-HR"/>
        </w:rPr>
      </w:pPr>
      <w:r w:rsidRPr="002A7857">
        <w:rPr>
          <w:rFonts w:asciiTheme="majorHAnsi" w:hAnsiTheme="majorHAnsi"/>
          <w:noProof/>
          <w:lang w:val="hr-HR" w:eastAsia="hr-HR"/>
        </w:rPr>
        <w:drawing>
          <wp:inline distT="0" distB="0" distL="0" distR="0" wp14:anchorId="724B19F7" wp14:editId="46300B5F">
            <wp:extent cx="2381250" cy="1788169"/>
            <wp:effectExtent l="0" t="0" r="0" b="2540"/>
            <wp:docPr id="2" name="Picture 2" descr="U:\My Documents\AFIG\Issues\15. Fuel labelling CPT\15.12 Implementation after November 2016\15.12.03  Communication material\Nozzle 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AFIG\Issues\15. Fuel labelling CPT\15.12 Implementation after November 2016\15.12.03  Communication material\Nozzle lab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803" cy="1802101"/>
                    </a:xfrm>
                    <a:prstGeom prst="rect">
                      <a:avLst/>
                    </a:prstGeom>
                    <a:noFill/>
                    <a:ln>
                      <a:noFill/>
                    </a:ln>
                  </pic:spPr>
                </pic:pic>
              </a:graphicData>
            </a:graphic>
          </wp:inline>
        </w:drawing>
      </w:r>
    </w:p>
    <w:p w14:paraId="0BE49436" w14:textId="77777777" w:rsidR="008B1A63" w:rsidRPr="002A7857" w:rsidRDefault="008B1A63" w:rsidP="008B1A63">
      <w:pPr>
        <w:spacing w:before="120" w:after="120"/>
        <w:rPr>
          <w:rFonts w:asciiTheme="majorHAnsi" w:hAnsiTheme="majorHAnsi"/>
          <w:lang w:val="hr-HR"/>
        </w:rPr>
      </w:pPr>
    </w:p>
    <w:p w14:paraId="5B16A186" w14:textId="77777777" w:rsidR="008B1A63" w:rsidRPr="002A7857" w:rsidRDefault="008B1A63" w:rsidP="008B1A63">
      <w:pPr>
        <w:spacing w:before="120" w:after="120"/>
        <w:rPr>
          <w:rFonts w:asciiTheme="majorHAnsi" w:hAnsiTheme="majorHAnsi"/>
          <w:i/>
          <w:lang w:val="hr-HR"/>
        </w:rPr>
      </w:pPr>
      <w:r>
        <w:rPr>
          <w:rFonts w:asciiTheme="majorHAnsi" w:hAnsiTheme="majorHAnsi"/>
          <w:i/>
          <w:lang w:val="hr-HR"/>
        </w:rPr>
        <w:t>NAPOMENA</w:t>
      </w:r>
      <w:r w:rsidRPr="002A7857">
        <w:rPr>
          <w:rFonts w:asciiTheme="majorHAnsi" w:hAnsiTheme="majorHAnsi"/>
          <w:i/>
          <w:lang w:val="hr-HR"/>
        </w:rPr>
        <w:t xml:space="preserve">: </w:t>
      </w:r>
      <w:r>
        <w:rPr>
          <w:rFonts w:asciiTheme="majorHAnsi" w:hAnsiTheme="majorHAnsi"/>
          <w:i/>
          <w:lang w:val="hr-HR"/>
        </w:rPr>
        <w:t>zamijeniti</w:t>
      </w:r>
    </w:p>
    <w:tbl>
      <w:tblPr>
        <w:tblStyle w:val="TableGrid"/>
        <w:tblW w:w="0" w:type="auto"/>
        <w:tblLook w:val="04A0" w:firstRow="1" w:lastRow="0" w:firstColumn="1" w:lastColumn="0" w:noHBand="0" w:noVBand="1"/>
      </w:tblPr>
      <w:tblGrid>
        <w:gridCol w:w="2327"/>
        <w:gridCol w:w="2406"/>
        <w:gridCol w:w="2274"/>
        <w:gridCol w:w="2166"/>
      </w:tblGrid>
      <w:tr w:rsidR="008B1A63" w:rsidRPr="002A7857" w14:paraId="3C48E759" w14:textId="77777777" w:rsidTr="00AC1E44">
        <w:trPr>
          <w:trHeight w:val="1076"/>
        </w:trPr>
        <w:tc>
          <w:tcPr>
            <w:tcW w:w="2405" w:type="dxa"/>
          </w:tcPr>
          <w:p w14:paraId="0E3F7D94" w14:textId="77777777" w:rsidR="008B1A63" w:rsidRPr="002A7857" w:rsidRDefault="008B1A63" w:rsidP="00AC1E44">
            <w:pPr>
              <w:spacing w:before="120" w:after="120"/>
              <w:jc w:val="center"/>
              <w:rPr>
                <w:rFonts w:asciiTheme="majorHAnsi" w:hAnsiTheme="majorHAnsi"/>
                <w:b/>
                <w:lang w:val="hr-HR"/>
              </w:rPr>
            </w:pPr>
            <w:r>
              <w:rPr>
                <w:rFonts w:asciiTheme="majorHAnsi" w:hAnsiTheme="majorHAnsi"/>
                <w:b/>
                <w:lang w:val="hr-HR"/>
              </w:rPr>
              <w:t>Na novim vozilima</w:t>
            </w:r>
          </w:p>
          <w:p w14:paraId="34C15FD2" w14:textId="77777777" w:rsidR="008B1A63" w:rsidRPr="002A7857" w:rsidRDefault="008B1A63" w:rsidP="00AC1E44">
            <w:pPr>
              <w:spacing w:before="120" w:after="120"/>
              <w:jc w:val="center"/>
              <w:rPr>
                <w:rFonts w:asciiTheme="majorHAnsi" w:hAnsiTheme="majorHAnsi"/>
                <w:lang w:val="hr-HR"/>
              </w:rPr>
            </w:pPr>
            <w:r w:rsidRPr="002A7857">
              <w:rPr>
                <w:rFonts w:asciiTheme="majorHAnsi" w:hAnsiTheme="majorHAnsi"/>
                <w:sz w:val="18"/>
                <w:lang w:val="hr-HR"/>
              </w:rPr>
              <w:t>(</w:t>
            </w:r>
            <w:r>
              <w:rPr>
                <w:rFonts w:asciiTheme="majorHAnsi" w:hAnsiTheme="majorHAnsi"/>
                <w:sz w:val="18"/>
                <w:lang w:val="hr-HR"/>
              </w:rPr>
              <w:t>u blizini poklopca/čepa spremnika za gorivo</w:t>
            </w:r>
            <w:r w:rsidRPr="002A7857">
              <w:rPr>
                <w:rFonts w:asciiTheme="majorHAnsi" w:hAnsiTheme="majorHAnsi"/>
                <w:sz w:val="18"/>
                <w:lang w:val="hr-HR"/>
              </w:rPr>
              <w:t>)</w:t>
            </w:r>
          </w:p>
        </w:tc>
        <w:tc>
          <w:tcPr>
            <w:tcW w:w="2552" w:type="dxa"/>
          </w:tcPr>
          <w:p w14:paraId="7985D8F2" w14:textId="77777777" w:rsidR="008B1A63" w:rsidRPr="002A7857" w:rsidRDefault="008B1A63" w:rsidP="00AC1E44">
            <w:pPr>
              <w:spacing w:before="120" w:after="120"/>
              <w:jc w:val="center"/>
              <w:rPr>
                <w:rFonts w:asciiTheme="majorHAnsi" w:hAnsiTheme="majorHAnsi"/>
                <w:b/>
                <w:lang w:val="hr-HR"/>
              </w:rPr>
            </w:pPr>
            <w:r>
              <w:rPr>
                <w:rFonts w:asciiTheme="majorHAnsi" w:hAnsiTheme="majorHAnsi"/>
                <w:b/>
                <w:lang w:val="hr-HR"/>
              </w:rPr>
              <w:t>U priručniku vlasnika</w:t>
            </w:r>
          </w:p>
        </w:tc>
        <w:tc>
          <w:tcPr>
            <w:tcW w:w="2409" w:type="dxa"/>
          </w:tcPr>
          <w:p w14:paraId="1EE0BE11" w14:textId="77777777" w:rsidR="008B1A63" w:rsidRPr="002A7857" w:rsidRDefault="008B1A63" w:rsidP="00AC1E44">
            <w:pPr>
              <w:spacing w:before="120" w:after="120"/>
              <w:jc w:val="center"/>
              <w:rPr>
                <w:rFonts w:asciiTheme="majorHAnsi" w:hAnsiTheme="majorHAnsi"/>
                <w:b/>
                <w:lang w:val="hr-HR"/>
              </w:rPr>
            </w:pPr>
            <w:r>
              <w:rPr>
                <w:rFonts w:asciiTheme="majorHAnsi" w:hAnsiTheme="majorHAnsi"/>
                <w:b/>
                <w:lang w:val="hr-HR"/>
              </w:rPr>
              <w:t>Na postajama za punjenje goriva</w:t>
            </w:r>
          </w:p>
          <w:p w14:paraId="2EE85949" w14:textId="77777777" w:rsidR="008B1A63" w:rsidRPr="002A7857" w:rsidRDefault="008B1A63" w:rsidP="00AC1E44">
            <w:pPr>
              <w:spacing w:before="120" w:after="120"/>
              <w:jc w:val="center"/>
              <w:rPr>
                <w:rFonts w:asciiTheme="majorHAnsi" w:hAnsiTheme="majorHAnsi"/>
                <w:lang w:val="hr-HR"/>
              </w:rPr>
            </w:pPr>
            <w:r w:rsidRPr="00B141EF">
              <w:rPr>
                <w:rFonts w:asciiTheme="majorHAnsi" w:hAnsiTheme="majorHAnsi"/>
                <w:sz w:val="18"/>
                <w:lang w:val="hr-HR"/>
              </w:rPr>
              <w:t xml:space="preserve">(na mjernom za gorivo i na pipcu za gorivo </w:t>
            </w:r>
            <w:r w:rsidRPr="00B141EF">
              <w:rPr>
                <w:rFonts w:asciiTheme="majorHAnsi" w:hAnsiTheme="majorHAnsi"/>
                <w:sz w:val="18"/>
                <w:lang w:val="hr-HR"/>
              </w:rPr>
              <w:lastRenderedPageBreak/>
              <w:t>mjernog uređaja)</w:t>
            </w:r>
          </w:p>
        </w:tc>
        <w:tc>
          <w:tcPr>
            <w:tcW w:w="2256" w:type="dxa"/>
          </w:tcPr>
          <w:p w14:paraId="22B60775" w14:textId="77777777" w:rsidR="008B1A63" w:rsidRPr="002A7857" w:rsidRDefault="008B1A63" w:rsidP="00AC1E44">
            <w:pPr>
              <w:spacing w:before="120" w:after="120"/>
              <w:jc w:val="center"/>
              <w:rPr>
                <w:rFonts w:asciiTheme="majorHAnsi" w:hAnsiTheme="majorHAnsi"/>
                <w:b/>
                <w:lang w:val="hr-HR"/>
              </w:rPr>
            </w:pPr>
            <w:r>
              <w:rPr>
                <w:rFonts w:asciiTheme="majorHAnsi" w:hAnsiTheme="majorHAnsi"/>
                <w:b/>
                <w:lang w:val="hr-HR"/>
              </w:rPr>
              <w:lastRenderedPageBreak/>
              <w:t>Kod distributera</w:t>
            </w:r>
          </w:p>
        </w:tc>
      </w:tr>
      <w:tr w:rsidR="008B1A63" w:rsidRPr="00546195" w14:paraId="450766F5" w14:textId="77777777" w:rsidTr="00AC1E44">
        <w:tc>
          <w:tcPr>
            <w:tcW w:w="2405" w:type="dxa"/>
          </w:tcPr>
          <w:p w14:paraId="53E024FC" w14:textId="77777777" w:rsidR="008B1A63" w:rsidRPr="002A7857" w:rsidRDefault="008B1A63" w:rsidP="00AC1E44">
            <w:pPr>
              <w:spacing w:before="120" w:after="120"/>
              <w:jc w:val="both"/>
              <w:rPr>
                <w:rFonts w:asciiTheme="majorHAnsi" w:hAnsiTheme="majorHAnsi"/>
                <w:lang w:val="hr-HR"/>
              </w:rPr>
            </w:pPr>
            <w:r>
              <w:rPr>
                <w:rFonts w:asciiTheme="majorHAnsi" w:hAnsiTheme="majorHAnsi"/>
                <w:sz w:val="20"/>
                <w:lang w:val="hr-HR"/>
              </w:rPr>
              <w:t>Veličina</w:t>
            </w:r>
            <w:r w:rsidRPr="002A7857">
              <w:rPr>
                <w:rFonts w:asciiTheme="majorHAnsi" w:hAnsiTheme="majorHAnsi"/>
                <w:sz w:val="20"/>
                <w:lang w:val="hr-HR"/>
              </w:rPr>
              <w:t xml:space="preserve">: </w:t>
            </w:r>
            <w:r>
              <w:rPr>
                <w:rFonts w:asciiTheme="majorHAnsi" w:hAnsiTheme="majorHAnsi"/>
                <w:sz w:val="20"/>
                <w:lang w:val="hr-HR"/>
              </w:rPr>
              <w:t xml:space="preserve">promjer najmanje </w:t>
            </w:r>
            <w:r w:rsidRPr="002A7857">
              <w:rPr>
                <w:rFonts w:asciiTheme="majorHAnsi" w:hAnsiTheme="majorHAnsi"/>
                <w:sz w:val="20"/>
                <w:lang w:val="hr-HR"/>
              </w:rPr>
              <w:t>13mm</w:t>
            </w:r>
          </w:p>
        </w:tc>
        <w:tc>
          <w:tcPr>
            <w:tcW w:w="2552" w:type="dxa"/>
          </w:tcPr>
          <w:p w14:paraId="58F7C7B7" w14:textId="77777777" w:rsidR="008B1A63" w:rsidRPr="002A7857" w:rsidRDefault="008B1A63" w:rsidP="00AC1E44">
            <w:pPr>
              <w:spacing w:before="120" w:after="120"/>
              <w:rPr>
                <w:rFonts w:asciiTheme="majorHAnsi" w:hAnsiTheme="majorHAnsi"/>
                <w:sz w:val="20"/>
                <w:lang w:val="hr-HR"/>
              </w:rPr>
            </w:pPr>
          </w:p>
        </w:tc>
        <w:tc>
          <w:tcPr>
            <w:tcW w:w="2409" w:type="dxa"/>
          </w:tcPr>
          <w:p w14:paraId="34B58E19" w14:textId="77777777" w:rsidR="008B1A63" w:rsidRPr="002A7857" w:rsidRDefault="008B1A63" w:rsidP="00AC1E44">
            <w:pPr>
              <w:spacing w:before="120" w:after="120"/>
              <w:jc w:val="center"/>
              <w:rPr>
                <w:rFonts w:asciiTheme="majorHAnsi" w:hAnsiTheme="majorHAnsi"/>
                <w:sz w:val="20"/>
                <w:lang w:val="hr-HR"/>
              </w:rPr>
            </w:pPr>
            <w:r w:rsidRPr="00B141EF">
              <w:rPr>
                <w:rFonts w:asciiTheme="majorHAnsi" w:hAnsiTheme="majorHAnsi"/>
                <w:sz w:val="20"/>
                <w:lang w:val="hr-HR"/>
              </w:rPr>
              <w:t>Veličina: promjer najmanje 13 mm za pipac za gorivo te promjer  najmanje 30 mm na mjernom uređaju za gorivo</w:t>
            </w:r>
          </w:p>
        </w:tc>
        <w:tc>
          <w:tcPr>
            <w:tcW w:w="2256" w:type="dxa"/>
          </w:tcPr>
          <w:p w14:paraId="34192E06" w14:textId="77777777" w:rsidR="008B1A63" w:rsidRPr="002A7857" w:rsidRDefault="008B1A63" w:rsidP="00AC1E44">
            <w:pPr>
              <w:spacing w:before="120" w:after="120"/>
              <w:jc w:val="center"/>
              <w:rPr>
                <w:rFonts w:asciiTheme="majorHAnsi" w:hAnsiTheme="majorHAnsi"/>
                <w:sz w:val="20"/>
                <w:lang w:val="hr-HR"/>
              </w:rPr>
            </w:pPr>
          </w:p>
        </w:tc>
      </w:tr>
      <w:tr w:rsidR="008B1A63" w:rsidRPr="002A7857" w14:paraId="5F6BF275" w14:textId="77777777" w:rsidTr="00AC1E44">
        <w:tc>
          <w:tcPr>
            <w:tcW w:w="2405" w:type="dxa"/>
          </w:tcPr>
          <w:p w14:paraId="4805A97C" w14:textId="77777777" w:rsidR="008B1A63" w:rsidRPr="002A7857"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Pr>
                <w:rFonts w:asciiTheme="majorHAnsi" w:hAnsiTheme="majorHAnsi"/>
                <w:i/>
                <w:sz w:val="20"/>
                <w:lang w:val="hr-HR"/>
              </w:rPr>
              <w:t>jedna</w:t>
            </w:r>
            <w:r w:rsidRPr="002A7857">
              <w:rPr>
                <w:rFonts w:asciiTheme="majorHAnsi" w:hAnsiTheme="majorHAnsi"/>
                <w:i/>
                <w:sz w:val="20"/>
                <w:lang w:val="hr-HR"/>
              </w:rPr>
              <w:t xml:space="preserve"> </w:t>
            </w:r>
            <w:r>
              <w:rPr>
                <w:rFonts w:asciiTheme="majorHAnsi" w:hAnsiTheme="majorHAnsi"/>
                <w:i/>
                <w:sz w:val="20"/>
                <w:lang w:val="hr-HR"/>
              </w:rPr>
              <w:t>fotografija jedne</w:t>
            </w:r>
            <w:r w:rsidRPr="002A7857">
              <w:rPr>
                <w:rFonts w:asciiTheme="majorHAnsi" w:hAnsiTheme="majorHAnsi"/>
                <w:i/>
                <w:sz w:val="20"/>
                <w:lang w:val="hr-HR"/>
              </w:rPr>
              <w:t xml:space="preserve"> </w:t>
            </w:r>
            <w:r>
              <w:rPr>
                <w:rFonts w:asciiTheme="majorHAnsi" w:hAnsiTheme="majorHAnsi"/>
                <w:i/>
                <w:sz w:val="20"/>
                <w:lang w:val="hr-HR"/>
              </w:rPr>
              <w:t>oznake na automobilu</w:t>
            </w:r>
          </w:p>
          <w:p w14:paraId="1C43C3C7" w14:textId="77777777" w:rsidR="008B1A63" w:rsidRPr="002A7857"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Pr>
                <w:rFonts w:asciiTheme="majorHAnsi" w:hAnsiTheme="majorHAnsi"/>
                <w:i/>
                <w:sz w:val="20"/>
                <w:lang w:val="hr-HR"/>
              </w:rPr>
              <w:t>jedna</w:t>
            </w:r>
            <w:r w:rsidRPr="002A7857">
              <w:rPr>
                <w:rFonts w:asciiTheme="majorHAnsi" w:hAnsiTheme="majorHAnsi"/>
                <w:i/>
                <w:sz w:val="20"/>
                <w:lang w:val="hr-HR"/>
              </w:rPr>
              <w:t xml:space="preserve"> </w:t>
            </w:r>
            <w:r>
              <w:rPr>
                <w:rFonts w:asciiTheme="majorHAnsi" w:hAnsiTheme="majorHAnsi"/>
                <w:i/>
                <w:sz w:val="20"/>
                <w:lang w:val="hr-HR"/>
              </w:rPr>
              <w:t>fotografija više oznaka na automobilu</w:t>
            </w:r>
          </w:p>
          <w:p w14:paraId="6EBA78F0" w14:textId="77777777" w:rsidR="008B1A63" w:rsidRPr="002A7857"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Pr>
                <w:rFonts w:asciiTheme="majorHAnsi" w:hAnsiTheme="majorHAnsi"/>
                <w:i/>
                <w:sz w:val="20"/>
                <w:lang w:val="hr-HR"/>
              </w:rPr>
              <w:t>jedna</w:t>
            </w:r>
            <w:r w:rsidRPr="002A7857">
              <w:rPr>
                <w:rFonts w:asciiTheme="majorHAnsi" w:hAnsiTheme="majorHAnsi"/>
                <w:i/>
                <w:sz w:val="20"/>
                <w:lang w:val="hr-HR"/>
              </w:rPr>
              <w:t xml:space="preserve"> </w:t>
            </w:r>
            <w:r>
              <w:rPr>
                <w:rFonts w:asciiTheme="majorHAnsi" w:hAnsiTheme="majorHAnsi"/>
                <w:i/>
                <w:sz w:val="20"/>
                <w:lang w:val="hr-HR"/>
              </w:rPr>
              <w:t>fotografija motocikla</w:t>
            </w:r>
            <w:r w:rsidRPr="002A7857">
              <w:rPr>
                <w:rFonts w:asciiTheme="majorHAnsi" w:hAnsiTheme="majorHAnsi"/>
                <w:i/>
                <w:sz w:val="20"/>
                <w:lang w:val="hr-HR"/>
              </w:rPr>
              <w:t>/</w:t>
            </w:r>
            <w:r>
              <w:rPr>
                <w:rFonts w:asciiTheme="majorHAnsi" w:hAnsiTheme="majorHAnsi"/>
                <w:i/>
                <w:sz w:val="20"/>
                <w:lang w:val="hr-HR"/>
              </w:rPr>
              <w:t>skutera</w:t>
            </w:r>
          </w:p>
          <w:p w14:paraId="02BE929E" w14:textId="77777777" w:rsidR="008B1A63" w:rsidRPr="002A7857" w:rsidRDefault="008B1A63" w:rsidP="00AC1E44">
            <w:pPr>
              <w:spacing w:before="120" w:after="120"/>
              <w:ind w:left="27"/>
              <w:rPr>
                <w:rFonts w:asciiTheme="majorHAnsi" w:hAnsiTheme="majorHAnsi"/>
                <w:sz w:val="20"/>
                <w:lang w:val="hr-HR"/>
              </w:rPr>
            </w:pPr>
          </w:p>
        </w:tc>
        <w:tc>
          <w:tcPr>
            <w:tcW w:w="2552" w:type="dxa"/>
          </w:tcPr>
          <w:p w14:paraId="640B5B96" w14:textId="77777777" w:rsidR="008B1A63" w:rsidRPr="002A7857"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Pr>
                <w:rFonts w:asciiTheme="majorHAnsi" w:hAnsiTheme="majorHAnsi"/>
                <w:i/>
                <w:sz w:val="20"/>
                <w:lang w:val="hr-HR"/>
              </w:rPr>
              <w:t>jedna</w:t>
            </w:r>
            <w:r w:rsidRPr="002A7857">
              <w:rPr>
                <w:rFonts w:asciiTheme="majorHAnsi" w:hAnsiTheme="majorHAnsi"/>
                <w:i/>
                <w:sz w:val="20"/>
                <w:lang w:val="hr-HR"/>
              </w:rPr>
              <w:t xml:space="preserve"> </w:t>
            </w:r>
            <w:r>
              <w:rPr>
                <w:rFonts w:asciiTheme="majorHAnsi" w:hAnsiTheme="majorHAnsi"/>
                <w:i/>
                <w:sz w:val="20"/>
                <w:lang w:val="hr-HR"/>
              </w:rPr>
              <w:t>fotografija brošure</w:t>
            </w:r>
          </w:p>
          <w:p w14:paraId="22C57F6F" w14:textId="77777777" w:rsidR="008B1A63" w:rsidRPr="002A7857" w:rsidRDefault="008B1A63" w:rsidP="00AC1E44">
            <w:pPr>
              <w:pStyle w:val="ListParagraph"/>
              <w:spacing w:before="120" w:after="120"/>
              <w:ind w:left="310"/>
              <w:rPr>
                <w:rFonts w:asciiTheme="majorHAnsi" w:hAnsiTheme="majorHAnsi"/>
                <w:i/>
                <w:sz w:val="20"/>
                <w:lang w:val="hr-HR"/>
              </w:rPr>
            </w:pPr>
          </w:p>
          <w:p w14:paraId="0DB68C0F" w14:textId="77777777" w:rsidR="008B1A63" w:rsidRPr="002A7857" w:rsidRDefault="008B1A63" w:rsidP="00AC1E44">
            <w:pPr>
              <w:spacing w:before="120" w:after="120"/>
              <w:rPr>
                <w:rFonts w:asciiTheme="majorHAnsi" w:hAnsiTheme="majorHAnsi"/>
                <w:lang w:val="hr-HR"/>
              </w:rPr>
            </w:pPr>
          </w:p>
        </w:tc>
        <w:tc>
          <w:tcPr>
            <w:tcW w:w="2409" w:type="dxa"/>
          </w:tcPr>
          <w:p w14:paraId="2F27E0E9" w14:textId="77777777" w:rsidR="008B1A63" w:rsidRPr="00B141EF"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sidRPr="00B141EF">
              <w:rPr>
                <w:rFonts w:asciiTheme="majorHAnsi" w:hAnsiTheme="majorHAnsi"/>
                <w:i/>
                <w:sz w:val="20"/>
                <w:lang w:val="hr-HR"/>
              </w:rPr>
              <w:t>jedna fotografija oznake na pipcu za gorivo</w:t>
            </w:r>
          </w:p>
          <w:p w14:paraId="27EC0CBC" w14:textId="77777777" w:rsidR="008B1A63" w:rsidRPr="00B141EF"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sidRPr="00B141EF">
              <w:rPr>
                <w:rFonts w:asciiTheme="majorHAnsi" w:hAnsiTheme="majorHAnsi"/>
                <w:i/>
                <w:sz w:val="20"/>
                <w:lang w:val="hr-HR"/>
              </w:rPr>
              <w:t>jedna fotografija mjernog uređaja za gorivo</w:t>
            </w:r>
          </w:p>
          <w:p w14:paraId="25B143B8" w14:textId="77777777" w:rsidR="008B1A63" w:rsidRPr="00B141EF" w:rsidRDefault="008B1A63" w:rsidP="00AC1E44">
            <w:pPr>
              <w:spacing w:before="120" w:after="120"/>
              <w:rPr>
                <w:rFonts w:asciiTheme="majorHAnsi" w:hAnsiTheme="majorHAnsi"/>
                <w:lang w:val="hr-HR"/>
              </w:rPr>
            </w:pPr>
          </w:p>
        </w:tc>
        <w:tc>
          <w:tcPr>
            <w:tcW w:w="2256" w:type="dxa"/>
          </w:tcPr>
          <w:p w14:paraId="1C7F9EE5" w14:textId="77777777" w:rsidR="008B1A63" w:rsidRPr="00B141EF" w:rsidRDefault="008B1A63" w:rsidP="00AC1E44">
            <w:pPr>
              <w:spacing w:before="120" w:after="120"/>
              <w:rPr>
                <w:rFonts w:asciiTheme="majorHAnsi" w:hAnsiTheme="majorHAnsi"/>
                <w:lang w:val="hr-HR"/>
              </w:rPr>
            </w:pPr>
            <w:r w:rsidRPr="00B141EF">
              <w:rPr>
                <w:rFonts w:asciiTheme="majorHAnsi" w:hAnsiTheme="majorHAnsi"/>
                <w:lang w:val="hr-HR"/>
              </w:rPr>
              <w:t>Izloženo, ovisno o distributeru.</w:t>
            </w:r>
          </w:p>
          <w:p w14:paraId="66FF81BE" w14:textId="77777777" w:rsidR="008B1A63" w:rsidRPr="00B141EF" w:rsidRDefault="008B1A63" w:rsidP="00AC1E44">
            <w:pPr>
              <w:spacing w:before="120" w:after="120"/>
              <w:rPr>
                <w:rFonts w:asciiTheme="majorHAnsi" w:hAnsiTheme="majorHAnsi"/>
                <w:lang w:val="hr-HR"/>
              </w:rPr>
            </w:pPr>
            <w:r w:rsidRPr="00B141EF">
              <w:rPr>
                <w:rFonts w:asciiTheme="majorHAnsi" w:hAnsiTheme="majorHAnsi"/>
                <w:lang w:val="hr-HR"/>
              </w:rPr>
              <w:t>Primjeri:</w:t>
            </w:r>
          </w:p>
          <w:p w14:paraId="73214BF5" w14:textId="77777777" w:rsidR="008B1A63" w:rsidRPr="00B141EF" w:rsidRDefault="008B1A63" w:rsidP="008B1A63">
            <w:pPr>
              <w:pStyle w:val="ListParagraph"/>
              <w:numPr>
                <w:ilvl w:val="0"/>
                <w:numId w:val="25"/>
              </w:numPr>
              <w:spacing w:before="120" w:after="120"/>
              <w:ind w:left="310" w:hanging="283"/>
              <w:contextualSpacing/>
              <w:rPr>
                <w:rFonts w:asciiTheme="majorHAnsi" w:hAnsiTheme="majorHAnsi"/>
                <w:i/>
                <w:sz w:val="20"/>
                <w:lang w:val="hr-HR"/>
              </w:rPr>
            </w:pPr>
            <w:r w:rsidRPr="00B141EF">
              <w:rPr>
                <w:rFonts w:asciiTheme="majorHAnsi" w:hAnsiTheme="majorHAnsi"/>
                <w:i/>
                <w:sz w:val="20"/>
                <w:lang w:val="hr-HR"/>
              </w:rPr>
              <w:t>Fotografije? (oznake, brošura itd.)</w:t>
            </w:r>
          </w:p>
        </w:tc>
      </w:tr>
    </w:tbl>
    <w:p w14:paraId="4B416777" w14:textId="77777777" w:rsidR="008B1A63" w:rsidRPr="002A7857" w:rsidRDefault="008B1A63" w:rsidP="008B1A63">
      <w:pPr>
        <w:spacing w:before="120" w:after="120"/>
        <w:ind w:left="426" w:hanging="426"/>
        <w:rPr>
          <w:rFonts w:asciiTheme="majorHAnsi" w:hAnsiTheme="majorHAnsi"/>
          <w:i/>
          <w:lang w:val="hr-HR"/>
        </w:rPr>
      </w:pPr>
    </w:p>
    <w:p w14:paraId="272B2ED4"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13.</w:t>
      </w:r>
      <w:r w:rsidRPr="002A7857">
        <w:rPr>
          <w:rFonts w:asciiTheme="majorHAnsi" w:hAnsiTheme="majorHAnsi"/>
          <w:b/>
          <w:lang w:val="hr-HR"/>
        </w:rPr>
        <w:tab/>
      </w:r>
      <w:r>
        <w:rPr>
          <w:rFonts w:asciiTheme="majorHAnsi" w:hAnsiTheme="majorHAnsi"/>
          <w:b/>
          <w:lang w:val="hr-HR"/>
        </w:rPr>
        <w:t>U kojim zemljama će ove oznake biti vidljive</w:t>
      </w:r>
      <w:r w:rsidRPr="002A7857">
        <w:rPr>
          <w:rFonts w:asciiTheme="majorHAnsi" w:hAnsiTheme="majorHAnsi"/>
          <w:b/>
          <w:lang w:val="hr-HR"/>
        </w:rPr>
        <w:t>?</w:t>
      </w:r>
    </w:p>
    <w:p w14:paraId="3EB03263" w14:textId="77777777" w:rsidR="008B1A63" w:rsidRDefault="008B1A63" w:rsidP="008B1A63">
      <w:pPr>
        <w:spacing w:before="120" w:after="120"/>
        <w:rPr>
          <w:rFonts w:asciiTheme="majorHAnsi" w:hAnsiTheme="majorHAnsi"/>
          <w:lang w:val="hr-HR"/>
        </w:rPr>
      </w:pPr>
      <w:r>
        <w:rPr>
          <w:rFonts w:asciiTheme="majorHAnsi" w:hAnsiTheme="majorHAnsi"/>
          <w:lang w:val="hr-HR"/>
        </w:rPr>
        <w:t xml:space="preserve">Nove oznake će se početi koristiti u svih 28 zemalja članica Europske unije, zemljama Europskog gospodarskog prostora (tj. Islandu, Lihtenštajnu i Norveškoj), kao i u Makedoniji, Srbiji, Švicarskoj i Turskoj, koje su članice CEN-a te su stoga također obvezne primjenjivati CEN norme. </w:t>
      </w:r>
    </w:p>
    <w:p w14:paraId="0889E2B9" w14:textId="77777777" w:rsidR="008B1A63" w:rsidRPr="002A7857" w:rsidRDefault="008B1A63" w:rsidP="008B1A63">
      <w:pPr>
        <w:spacing w:before="120" w:after="120"/>
        <w:ind w:left="426" w:hanging="426"/>
        <w:rPr>
          <w:rFonts w:asciiTheme="majorHAnsi" w:hAnsiTheme="majorHAnsi"/>
          <w:b/>
          <w:lang w:val="hr-HR"/>
        </w:rPr>
      </w:pPr>
      <w:r w:rsidRPr="002A7857">
        <w:rPr>
          <w:rFonts w:asciiTheme="majorHAnsi" w:hAnsiTheme="majorHAnsi"/>
          <w:b/>
          <w:lang w:val="hr-HR"/>
        </w:rPr>
        <w:t>14.</w:t>
      </w:r>
      <w:r w:rsidRPr="002A7857">
        <w:rPr>
          <w:rFonts w:asciiTheme="majorHAnsi" w:hAnsiTheme="majorHAnsi"/>
          <w:b/>
          <w:lang w:val="hr-HR"/>
        </w:rPr>
        <w:tab/>
      </w:r>
      <w:r>
        <w:rPr>
          <w:rFonts w:asciiTheme="majorHAnsi" w:hAnsiTheme="majorHAnsi"/>
          <w:b/>
          <w:lang w:val="hr-HR"/>
        </w:rPr>
        <w:t xml:space="preserve">Što je s Ujedinjenim Kraljevstvom nakon </w:t>
      </w:r>
      <w:proofErr w:type="spellStart"/>
      <w:r w:rsidRPr="002A7857">
        <w:rPr>
          <w:rFonts w:asciiTheme="majorHAnsi" w:hAnsiTheme="majorHAnsi"/>
          <w:b/>
          <w:lang w:val="hr-HR"/>
        </w:rPr>
        <w:t>Brexit</w:t>
      </w:r>
      <w:r>
        <w:rPr>
          <w:rFonts w:asciiTheme="majorHAnsi" w:hAnsiTheme="majorHAnsi"/>
          <w:b/>
          <w:lang w:val="hr-HR"/>
        </w:rPr>
        <w:t>a</w:t>
      </w:r>
      <w:proofErr w:type="spellEnd"/>
      <w:r w:rsidRPr="002A7857">
        <w:rPr>
          <w:rFonts w:asciiTheme="majorHAnsi" w:hAnsiTheme="majorHAnsi"/>
          <w:b/>
          <w:lang w:val="hr-HR"/>
        </w:rPr>
        <w:t>?</w:t>
      </w:r>
    </w:p>
    <w:p w14:paraId="2CCB961F" w14:textId="77777777" w:rsidR="008B1A63" w:rsidRDefault="008B1A63" w:rsidP="008B1A63">
      <w:pPr>
        <w:spacing w:before="120" w:after="120"/>
        <w:rPr>
          <w:rFonts w:asciiTheme="majorHAnsi" w:hAnsiTheme="majorHAnsi"/>
          <w:lang w:val="hr-HR"/>
        </w:rPr>
      </w:pPr>
      <w:r>
        <w:rPr>
          <w:rFonts w:asciiTheme="majorHAnsi" w:hAnsiTheme="majorHAnsi"/>
          <w:lang w:val="hr-HR"/>
        </w:rPr>
        <w:t xml:space="preserve">Ujedinjeno Kraljevstvo treba odlučiti na koji način će se pravila EU primjenjivati nakon </w:t>
      </w:r>
      <w:proofErr w:type="spellStart"/>
      <w:r>
        <w:rPr>
          <w:rFonts w:asciiTheme="majorHAnsi" w:hAnsiTheme="majorHAnsi"/>
          <w:lang w:val="hr-HR"/>
        </w:rPr>
        <w:t>Brexita</w:t>
      </w:r>
      <w:proofErr w:type="spellEnd"/>
      <w:r>
        <w:rPr>
          <w:rFonts w:asciiTheme="majorHAnsi" w:hAnsiTheme="majorHAnsi"/>
          <w:lang w:val="hr-HR"/>
        </w:rPr>
        <w:t xml:space="preserve">, međutim oznake će se stavljati na nova vozila na proizvodnoj liniji, tako da će vozila koja ulaze na tržište Ujedinjenog Kraljevstva imati oznake.   </w:t>
      </w:r>
    </w:p>
    <w:p w14:paraId="194ADE9C" w14:textId="77777777" w:rsidR="008B1A63" w:rsidRPr="002A7857" w:rsidRDefault="008B1A63" w:rsidP="008B1A63">
      <w:pPr>
        <w:spacing w:before="120" w:after="120"/>
        <w:rPr>
          <w:rFonts w:asciiTheme="majorHAnsi" w:hAnsiTheme="majorHAnsi"/>
          <w:lang w:val="hr-HR"/>
        </w:rPr>
      </w:pPr>
      <w:r>
        <w:rPr>
          <w:rFonts w:asciiTheme="majorHAnsi" w:hAnsiTheme="majorHAnsi"/>
          <w:lang w:val="hr-HR"/>
        </w:rPr>
        <w:t>Stoga pretpostavljamo da će sve javne postaje za punjenje goriva u Ujedinjenom Kraljevstvu također imati oznake.</w:t>
      </w:r>
    </w:p>
    <w:p w14:paraId="1F861A1E" w14:textId="77777777" w:rsidR="002B5B1D" w:rsidRPr="008B1A63" w:rsidRDefault="002B5B1D" w:rsidP="008B1A63"/>
    <w:sectPr w:rsidR="002B5B1D" w:rsidRPr="008B1A63" w:rsidSect="00C96D78">
      <w:headerReference w:type="default" r:id="rId19"/>
      <w:headerReference w:type="first" r:id="rId20"/>
      <w:pgSz w:w="11906" w:h="16838" w:code="9"/>
      <w:pgMar w:top="1004" w:right="1021" w:bottom="2268" w:left="192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7B423" w14:textId="77777777" w:rsidR="00FE332C" w:rsidRDefault="00FE332C" w:rsidP="00AA2A68">
      <w:r>
        <w:separator/>
      </w:r>
    </w:p>
  </w:endnote>
  <w:endnote w:type="continuationSeparator" w:id="0">
    <w:p w14:paraId="1F61B435" w14:textId="77777777" w:rsidR="00FE332C" w:rsidRDefault="00FE332C" w:rsidP="00AA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4B335" w14:textId="77777777" w:rsidR="00FE332C" w:rsidRDefault="00FE332C" w:rsidP="00AA2A68">
      <w:r>
        <w:separator/>
      </w:r>
    </w:p>
  </w:footnote>
  <w:footnote w:type="continuationSeparator" w:id="0">
    <w:p w14:paraId="588A6299" w14:textId="77777777" w:rsidR="00FE332C" w:rsidRDefault="00FE332C" w:rsidP="00AA2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0E0C6" w14:textId="77777777" w:rsidR="00945C95" w:rsidRDefault="00606C3F">
    <w:pPr>
      <w:pStyle w:val="Header"/>
    </w:pPr>
    <w:r>
      <w:rPr>
        <w:noProof/>
        <w:lang w:val="hr-HR" w:eastAsia="hr-HR"/>
      </w:rPr>
      <w:drawing>
        <wp:anchor distT="0" distB="0" distL="114300" distR="114300" simplePos="0" relativeHeight="251657216" behindDoc="1" locked="0" layoutInCell="1" allowOverlap="1" wp14:anchorId="3D10BF75" wp14:editId="468DBB4D">
          <wp:simplePos x="0" y="0"/>
          <wp:positionH relativeFrom="page">
            <wp:posOffset>0</wp:posOffset>
          </wp:positionH>
          <wp:positionV relativeFrom="page">
            <wp:posOffset>0</wp:posOffset>
          </wp:positionV>
          <wp:extent cx="7560310" cy="10683875"/>
          <wp:effectExtent l="0" t="0" r="2540" b="3175"/>
          <wp:wrapNone/>
          <wp:docPr id="3" name="Picture 3" descr="stra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n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8C46E" w14:textId="77777777" w:rsidR="00945C95" w:rsidRPr="007D76F6" w:rsidRDefault="00606C3F" w:rsidP="00A25ABE">
    <w:pPr>
      <w:pStyle w:val="Header"/>
      <w:tabs>
        <w:tab w:val="clear" w:pos="4536"/>
        <w:tab w:val="clear" w:pos="9072"/>
        <w:tab w:val="left" w:pos="1066"/>
      </w:tabs>
      <w:rPr>
        <w:rFonts w:ascii="Times New Roman" w:hAnsi="Times New Roman"/>
      </w:rPr>
    </w:pPr>
    <w:r>
      <w:rPr>
        <w:noProof/>
        <w:lang w:val="hr-HR" w:eastAsia="hr-HR"/>
      </w:rPr>
      <w:drawing>
        <wp:anchor distT="0" distB="0" distL="114300" distR="114300" simplePos="0" relativeHeight="251658240" behindDoc="1" locked="1" layoutInCell="1" allowOverlap="1" wp14:anchorId="465763F8" wp14:editId="21A3099F">
          <wp:simplePos x="0" y="0"/>
          <wp:positionH relativeFrom="page">
            <wp:align>left</wp:align>
          </wp:positionH>
          <wp:positionV relativeFrom="page">
            <wp:align>top</wp:align>
          </wp:positionV>
          <wp:extent cx="7572375" cy="10701655"/>
          <wp:effectExtent l="0" t="0" r="9525" b="4445"/>
          <wp:wrapNone/>
          <wp:docPr id="9" name="Picture 9" descr="memo_HUP_sredisnji-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o_HUP_sredisnji-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49257" w14:textId="77777777" w:rsidR="00945C95" w:rsidRPr="007D76F6" w:rsidRDefault="00945C95" w:rsidP="00A25ABE">
    <w:pPr>
      <w:pStyle w:val="Header"/>
      <w:tabs>
        <w:tab w:val="clear" w:pos="4536"/>
        <w:tab w:val="clear" w:pos="9072"/>
        <w:tab w:val="left" w:pos="1066"/>
      </w:tabs>
      <w:rPr>
        <w:rFonts w:ascii="Times New Roman" w:hAnsi="Times New Roman"/>
      </w:rPr>
    </w:pPr>
  </w:p>
  <w:p w14:paraId="342F0067" w14:textId="77777777" w:rsidR="00945C95" w:rsidRPr="007D76F6" w:rsidRDefault="00945C95" w:rsidP="00A25ABE">
    <w:pPr>
      <w:pStyle w:val="Header"/>
      <w:tabs>
        <w:tab w:val="clear" w:pos="4536"/>
        <w:tab w:val="clear" w:pos="9072"/>
        <w:tab w:val="left" w:pos="1066"/>
      </w:tabs>
      <w:rPr>
        <w:rFonts w:ascii="Times New Roman" w:hAnsi="Times New Roman"/>
      </w:rPr>
    </w:pPr>
  </w:p>
  <w:p w14:paraId="0A2F3F5F" w14:textId="77777777" w:rsidR="00945C95" w:rsidRPr="007D76F6" w:rsidRDefault="00945C95" w:rsidP="00A25ABE">
    <w:pPr>
      <w:pStyle w:val="Header"/>
      <w:tabs>
        <w:tab w:val="clear" w:pos="4536"/>
        <w:tab w:val="clear" w:pos="9072"/>
        <w:tab w:val="left" w:pos="1066"/>
      </w:tabs>
      <w:rPr>
        <w:rFonts w:ascii="Times New Roman" w:hAnsi="Times New Roman"/>
      </w:rPr>
    </w:pPr>
  </w:p>
  <w:p w14:paraId="519ECBB8" w14:textId="77777777" w:rsidR="00945C95" w:rsidRPr="007D76F6" w:rsidRDefault="00945C95" w:rsidP="00A25ABE">
    <w:pPr>
      <w:pStyle w:val="Header"/>
      <w:tabs>
        <w:tab w:val="clear" w:pos="4536"/>
        <w:tab w:val="clear" w:pos="9072"/>
        <w:tab w:val="left" w:pos="1066"/>
      </w:tabs>
      <w:rPr>
        <w:rFonts w:ascii="Times New Roman" w:hAnsi="Times New Roman"/>
      </w:rPr>
    </w:pPr>
  </w:p>
  <w:p w14:paraId="53FA3220" w14:textId="77777777" w:rsidR="00945C95" w:rsidRPr="007D76F6" w:rsidRDefault="00945C95" w:rsidP="00A25ABE">
    <w:pPr>
      <w:pStyle w:val="Header"/>
      <w:tabs>
        <w:tab w:val="clear" w:pos="4536"/>
        <w:tab w:val="clear" w:pos="9072"/>
        <w:tab w:val="left" w:pos="106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D62E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B1A2E"/>
    <w:multiLevelType w:val="hybridMultilevel"/>
    <w:tmpl w:val="15E8D1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110128"/>
    <w:multiLevelType w:val="hybridMultilevel"/>
    <w:tmpl w:val="2A1CC5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4F1A0D"/>
    <w:multiLevelType w:val="hybridMultilevel"/>
    <w:tmpl w:val="19ECE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A140EC"/>
    <w:multiLevelType w:val="hybridMultilevel"/>
    <w:tmpl w:val="C78253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5BF7691"/>
    <w:multiLevelType w:val="hybridMultilevel"/>
    <w:tmpl w:val="9A8436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B66544B"/>
    <w:multiLevelType w:val="hybridMultilevel"/>
    <w:tmpl w:val="3556B0AE"/>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C91636"/>
    <w:multiLevelType w:val="hybridMultilevel"/>
    <w:tmpl w:val="6CA2EE9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D80AA3"/>
    <w:multiLevelType w:val="hybridMultilevel"/>
    <w:tmpl w:val="0320493C"/>
    <w:lvl w:ilvl="0" w:tplc="70E0B14A">
      <w:start w:val="1999"/>
      <w:numFmt w:val="bullet"/>
      <w:lvlText w:val="-"/>
      <w:lvlJc w:val="left"/>
      <w:pPr>
        <w:ind w:left="720" w:hanging="360"/>
      </w:pPr>
      <w:rPr>
        <w:rFonts w:ascii="Cambria" w:eastAsia="Calibri" w:hAnsi="Cambria" w:cs="Cambr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FB0FC9"/>
    <w:multiLevelType w:val="hybridMultilevel"/>
    <w:tmpl w:val="DE446E00"/>
    <w:lvl w:ilvl="0" w:tplc="E162F18A">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21F1827"/>
    <w:multiLevelType w:val="hybridMultilevel"/>
    <w:tmpl w:val="95742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C1385"/>
    <w:multiLevelType w:val="hybridMultilevel"/>
    <w:tmpl w:val="ED36AD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11668E"/>
    <w:multiLevelType w:val="hybridMultilevel"/>
    <w:tmpl w:val="B31241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EF56B00"/>
    <w:multiLevelType w:val="hybridMultilevel"/>
    <w:tmpl w:val="9082565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46A314F3"/>
    <w:multiLevelType w:val="hybridMultilevel"/>
    <w:tmpl w:val="A07057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E600FA5"/>
    <w:multiLevelType w:val="hybridMultilevel"/>
    <w:tmpl w:val="5FA2403A"/>
    <w:lvl w:ilvl="0" w:tplc="24AE70FE">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0D827D3"/>
    <w:multiLevelType w:val="hybridMultilevel"/>
    <w:tmpl w:val="756AD70C"/>
    <w:lvl w:ilvl="0" w:tplc="0B226ED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661012A"/>
    <w:multiLevelType w:val="hybridMultilevel"/>
    <w:tmpl w:val="963C08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A9435F6"/>
    <w:multiLevelType w:val="hybridMultilevel"/>
    <w:tmpl w:val="DEE22E36"/>
    <w:lvl w:ilvl="0" w:tplc="041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467EB4"/>
    <w:multiLevelType w:val="hybridMultilevel"/>
    <w:tmpl w:val="038EC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E7E6073"/>
    <w:multiLevelType w:val="hybridMultilevel"/>
    <w:tmpl w:val="C3E4BD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1315ADE"/>
    <w:multiLevelType w:val="hybridMultilevel"/>
    <w:tmpl w:val="6A6AECA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7200C28"/>
    <w:multiLevelType w:val="hybridMultilevel"/>
    <w:tmpl w:val="4A34261E"/>
    <w:lvl w:ilvl="0" w:tplc="04090001">
      <w:start w:val="1"/>
      <w:numFmt w:val="bullet"/>
      <w:lvlText w:val=""/>
      <w:lvlJc w:val="left"/>
      <w:pPr>
        <w:ind w:left="360" w:hanging="360"/>
      </w:pPr>
      <w:rPr>
        <w:rFonts w:ascii="Symbol" w:hAnsi="Symbol" w:hint="default"/>
      </w:rPr>
    </w:lvl>
    <w:lvl w:ilvl="1" w:tplc="8E7A729E">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36173C"/>
    <w:multiLevelType w:val="hybridMultilevel"/>
    <w:tmpl w:val="269E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FE38EC"/>
    <w:multiLevelType w:val="hybridMultilevel"/>
    <w:tmpl w:val="014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0"/>
  </w:num>
  <w:num w:numId="4">
    <w:abstractNumId w:val="7"/>
  </w:num>
  <w:num w:numId="5">
    <w:abstractNumId w:val="19"/>
  </w:num>
  <w:num w:numId="6">
    <w:abstractNumId w:val="17"/>
  </w:num>
  <w:num w:numId="7">
    <w:abstractNumId w:val="21"/>
  </w:num>
  <w:num w:numId="8">
    <w:abstractNumId w:val="3"/>
  </w:num>
  <w:num w:numId="9">
    <w:abstractNumId w:val="14"/>
  </w:num>
  <w:num w:numId="10">
    <w:abstractNumId w:val="22"/>
  </w:num>
  <w:num w:numId="11">
    <w:abstractNumId w:val="18"/>
  </w:num>
  <w:num w:numId="12">
    <w:abstractNumId w:val="16"/>
  </w:num>
  <w:num w:numId="13">
    <w:abstractNumId w:val="15"/>
  </w:num>
  <w:num w:numId="14">
    <w:abstractNumId w:val="8"/>
  </w:num>
  <w:num w:numId="15">
    <w:abstractNumId w:val="10"/>
  </w:num>
  <w:num w:numId="16">
    <w:abstractNumId w:val="12"/>
  </w:num>
  <w:num w:numId="17">
    <w:abstractNumId w:val="9"/>
  </w:num>
  <w:num w:numId="18">
    <w:abstractNumId w:val="6"/>
  </w:num>
  <w:num w:numId="19">
    <w:abstractNumId w:val="5"/>
  </w:num>
  <w:num w:numId="20">
    <w:abstractNumId w:val="2"/>
  </w:num>
  <w:num w:numId="21">
    <w:abstractNumId w:val="4"/>
  </w:num>
  <w:num w:numId="22">
    <w:abstractNumId w:val="13"/>
  </w:num>
  <w:num w:numId="23">
    <w:abstractNumId w:val="23"/>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95"/>
    <w:rsid w:val="000208F6"/>
    <w:rsid w:val="000241BB"/>
    <w:rsid w:val="0008632E"/>
    <w:rsid w:val="000A497F"/>
    <w:rsid w:val="000B1FC9"/>
    <w:rsid w:val="00105FCC"/>
    <w:rsid w:val="00172076"/>
    <w:rsid w:val="00185C45"/>
    <w:rsid w:val="001A07ED"/>
    <w:rsid w:val="001C274B"/>
    <w:rsid w:val="001C27AC"/>
    <w:rsid w:val="001D7102"/>
    <w:rsid w:val="001E4132"/>
    <w:rsid w:val="001E4715"/>
    <w:rsid w:val="00200EF9"/>
    <w:rsid w:val="00210C35"/>
    <w:rsid w:val="002337CB"/>
    <w:rsid w:val="00285003"/>
    <w:rsid w:val="002A5A61"/>
    <w:rsid w:val="002B5B1D"/>
    <w:rsid w:val="002E6912"/>
    <w:rsid w:val="0032790D"/>
    <w:rsid w:val="003412C1"/>
    <w:rsid w:val="00380488"/>
    <w:rsid w:val="00395626"/>
    <w:rsid w:val="00404083"/>
    <w:rsid w:val="00406B0D"/>
    <w:rsid w:val="00435EAD"/>
    <w:rsid w:val="00446DC0"/>
    <w:rsid w:val="00496293"/>
    <w:rsid w:val="004B71F6"/>
    <w:rsid w:val="00573F95"/>
    <w:rsid w:val="00577A37"/>
    <w:rsid w:val="00585D39"/>
    <w:rsid w:val="005E5D1F"/>
    <w:rsid w:val="005F175B"/>
    <w:rsid w:val="006015D3"/>
    <w:rsid w:val="00606AD6"/>
    <w:rsid w:val="00606C3F"/>
    <w:rsid w:val="00690FED"/>
    <w:rsid w:val="006A3344"/>
    <w:rsid w:val="006C427A"/>
    <w:rsid w:val="006C7C69"/>
    <w:rsid w:val="006D2197"/>
    <w:rsid w:val="00737A37"/>
    <w:rsid w:val="00762F1C"/>
    <w:rsid w:val="007713AB"/>
    <w:rsid w:val="007976BB"/>
    <w:rsid w:val="007A48D4"/>
    <w:rsid w:val="007D76F6"/>
    <w:rsid w:val="007E21FE"/>
    <w:rsid w:val="00824D19"/>
    <w:rsid w:val="00844E62"/>
    <w:rsid w:val="008B1A63"/>
    <w:rsid w:val="008C5643"/>
    <w:rsid w:val="0091553A"/>
    <w:rsid w:val="00945AD5"/>
    <w:rsid w:val="00945C95"/>
    <w:rsid w:val="00951623"/>
    <w:rsid w:val="009670DE"/>
    <w:rsid w:val="009B4971"/>
    <w:rsid w:val="009E3319"/>
    <w:rsid w:val="00A17863"/>
    <w:rsid w:val="00A25ABE"/>
    <w:rsid w:val="00A31E3A"/>
    <w:rsid w:val="00A7762B"/>
    <w:rsid w:val="00AA2A68"/>
    <w:rsid w:val="00AD2771"/>
    <w:rsid w:val="00AE66DB"/>
    <w:rsid w:val="00B424B9"/>
    <w:rsid w:val="00B47B11"/>
    <w:rsid w:val="00B74FB4"/>
    <w:rsid w:val="00B95792"/>
    <w:rsid w:val="00BB0B5D"/>
    <w:rsid w:val="00C76156"/>
    <w:rsid w:val="00C96D78"/>
    <w:rsid w:val="00CC0041"/>
    <w:rsid w:val="00D478CE"/>
    <w:rsid w:val="00DA751A"/>
    <w:rsid w:val="00DF07E5"/>
    <w:rsid w:val="00E22DC1"/>
    <w:rsid w:val="00E479BF"/>
    <w:rsid w:val="00E614C2"/>
    <w:rsid w:val="00EA1D50"/>
    <w:rsid w:val="00EB6D0B"/>
    <w:rsid w:val="00F04BC3"/>
    <w:rsid w:val="00F17EA8"/>
    <w:rsid w:val="00F574BA"/>
    <w:rsid w:val="00F90286"/>
    <w:rsid w:val="00FA228C"/>
    <w:rsid w:val="00FD2DD6"/>
    <w:rsid w:val="00FE332C"/>
    <w:rsid w:val="00FF68B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63481818"/>
  <w14:defaultImageDpi w14:val="300"/>
  <w15:docId w15:val="{D7A6C077-EBB8-46E8-B5D3-5A730FC4F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7B11"/>
    <w:rPr>
      <w:rFonts w:ascii="Cambria" w:hAnsi="Cambria" w:cs="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A68"/>
    <w:pPr>
      <w:tabs>
        <w:tab w:val="center" w:pos="4536"/>
        <w:tab w:val="right" w:pos="9072"/>
      </w:tabs>
      <w:spacing w:after="200" w:line="276" w:lineRule="auto"/>
    </w:pPr>
    <w:rPr>
      <w:rFonts w:ascii="Calibri" w:hAnsi="Calibri" w:cs="Times New Roman"/>
      <w:sz w:val="22"/>
      <w:szCs w:val="22"/>
      <w:lang w:val="x-none"/>
    </w:rPr>
  </w:style>
  <w:style w:type="character" w:customStyle="1" w:styleId="HeaderChar">
    <w:name w:val="Header Char"/>
    <w:link w:val="Header"/>
    <w:uiPriority w:val="99"/>
    <w:rsid w:val="00AA2A68"/>
    <w:rPr>
      <w:sz w:val="22"/>
      <w:szCs w:val="22"/>
      <w:lang w:eastAsia="en-US"/>
    </w:rPr>
  </w:style>
  <w:style w:type="paragraph" w:styleId="Footer">
    <w:name w:val="footer"/>
    <w:basedOn w:val="Normal"/>
    <w:link w:val="FooterChar"/>
    <w:uiPriority w:val="99"/>
    <w:unhideWhenUsed/>
    <w:rsid w:val="00AA2A68"/>
    <w:pPr>
      <w:tabs>
        <w:tab w:val="center" w:pos="4536"/>
        <w:tab w:val="right" w:pos="9072"/>
      </w:tabs>
      <w:spacing w:after="200" w:line="276" w:lineRule="auto"/>
    </w:pPr>
    <w:rPr>
      <w:rFonts w:ascii="Calibri" w:hAnsi="Calibri" w:cs="Times New Roman"/>
      <w:sz w:val="22"/>
      <w:szCs w:val="22"/>
      <w:lang w:val="x-none"/>
    </w:rPr>
  </w:style>
  <w:style w:type="character" w:customStyle="1" w:styleId="FooterChar">
    <w:name w:val="Footer Char"/>
    <w:link w:val="Footer"/>
    <w:uiPriority w:val="99"/>
    <w:rsid w:val="00AA2A68"/>
    <w:rPr>
      <w:sz w:val="22"/>
      <w:szCs w:val="22"/>
      <w:lang w:eastAsia="en-US"/>
    </w:rPr>
  </w:style>
  <w:style w:type="paragraph" w:styleId="NormalWeb">
    <w:name w:val="Normal (Web)"/>
    <w:basedOn w:val="Normal"/>
    <w:uiPriority w:val="99"/>
    <w:unhideWhenUsed/>
    <w:rsid w:val="001C274B"/>
    <w:pPr>
      <w:spacing w:before="100" w:beforeAutospacing="1" w:after="100" w:afterAutospacing="1"/>
    </w:pPr>
    <w:rPr>
      <w:rFonts w:ascii="Times New Roman" w:eastAsia="Times New Roman" w:hAnsi="Times New Roman"/>
      <w:lang w:eastAsia="hr-HR"/>
    </w:rPr>
  </w:style>
  <w:style w:type="paragraph" w:styleId="PlainText">
    <w:name w:val="Plain Text"/>
    <w:basedOn w:val="Normal"/>
    <w:link w:val="PlainTextChar"/>
    <w:uiPriority w:val="99"/>
    <w:semiHidden/>
    <w:unhideWhenUsed/>
    <w:rsid w:val="00A17863"/>
    <w:rPr>
      <w:rFonts w:cs="Times New Roman"/>
      <w:szCs w:val="21"/>
    </w:rPr>
  </w:style>
  <w:style w:type="character" w:customStyle="1" w:styleId="PlainTextChar">
    <w:name w:val="Plain Text Char"/>
    <w:link w:val="PlainText"/>
    <w:uiPriority w:val="99"/>
    <w:semiHidden/>
    <w:rsid w:val="00A17863"/>
    <w:rPr>
      <w:sz w:val="22"/>
      <w:szCs w:val="21"/>
      <w:lang w:eastAsia="en-US"/>
    </w:rPr>
  </w:style>
  <w:style w:type="paragraph" w:styleId="ListParagraph">
    <w:name w:val="List Paragraph"/>
    <w:basedOn w:val="Normal"/>
    <w:uiPriority w:val="34"/>
    <w:qFormat/>
    <w:rsid w:val="00A17863"/>
    <w:pPr>
      <w:ind w:left="720"/>
    </w:pPr>
    <w:rPr>
      <w:rFonts w:ascii="Calibri" w:hAnsi="Calibri" w:cs="Times New Roman"/>
      <w:sz w:val="22"/>
      <w:szCs w:val="22"/>
      <w:lang w:val="en-GB" w:eastAsia="hr-HR"/>
    </w:rPr>
  </w:style>
  <w:style w:type="character" w:styleId="Strong">
    <w:name w:val="Strong"/>
    <w:uiPriority w:val="22"/>
    <w:qFormat/>
    <w:rsid w:val="00A17863"/>
    <w:rPr>
      <w:b/>
      <w:bCs/>
    </w:rPr>
  </w:style>
  <w:style w:type="character" w:styleId="Hyperlink">
    <w:name w:val="Hyperlink"/>
    <w:uiPriority w:val="99"/>
    <w:unhideWhenUsed/>
    <w:rsid w:val="00105FCC"/>
    <w:rPr>
      <w:color w:val="0000FF"/>
      <w:u w:val="single"/>
    </w:rPr>
  </w:style>
  <w:style w:type="paragraph" w:styleId="BalloonText">
    <w:name w:val="Balloon Text"/>
    <w:basedOn w:val="Normal"/>
    <w:link w:val="BalloonTextChar"/>
    <w:uiPriority w:val="99"/>
    <w:semiHidden/>
    <w:unhideWhenUsed/>
    <w:rsid w:val="007713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3AB"/>
    <w:rPr>
      <w:rFonts w:ascii="Segoe UI" w:hAnsi="Segoe UI" w:cs="Segoe UI"/>
      <w:sz w:val="18"/>
      <w:szCs w:val="18"/>
      <w:lang w:val="en-US" w:eastAsia="en-US"/>
    </w:rPr>
  </w:style>
  <w:style w:type="paragraph" w:styleId="NoSpacing">
    <w:name w:val="No Spacing"/>
    <w:uiPriority w:val="1"/>
    <w:qFormat/>
    <w:rsid w:val="00690FED"/>
    <w:rPr>
      <w:sz w:val="22"/>
      <w:szCs w:val="22"/>
      <w:lang w:eastAsia="en-US"/>
    </w:rPr>
  </w:style>
  <w:style w:type="table" w:styleId="TableGrid">
    <w:name w:val="Table Grid"/>
    <w:basedOn w:val="TableNormal"/>
    <w:uiPriority w:val="59"/>
    <w:rsid w:val="008B1A6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4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D0DD-F4E6-4CA0-9835-28AAAE5E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1343</Words>
  <Characters>7658</Characters>
  <Application>Microsoft Office Word</Application>
  <DocSecurity>0</DocSecurity>
  <Lines>63</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norma</dc:creator>
  <cp:lastModifiedBy>Marija Šutina</cp:lastModifiedBy>
  <cp:revision>2</cp:revision>
  <cp:lastPrinted>2017-02-08T09:07:00Z</cp:lastPrinted>
  <dcterms:created xsi:type="dcterms:W3CDTF">2018-08-02T11:08:00Z</dcterms:created>
  <dcterms:modified xsi:type="dcterms:W3CDTF">2018-08-02T11:08:00Z</dcterms:modified>
</cp:coreProperties>
</file>